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C84D3" w14:textId="77777777" w:rsidR="006E544C" w:rsidRPr="00BB6FFA" w:rsidRDefault="006E544C" w:rsidP="00BB6FFA">
      <w:pPr>
        <w:tabs>
          <w:tab w:val="left" w:pos="10773"/>
        </w:tabs>
        <w:autoSpaceDN w:val="0"/>
        <w:spacing w:after="0"/>
        <w:jc w:val="center"/>
        <w:rPr>
          <w:b/>
        </w:rPr>
      </w:pPr>
      <w:r w:rsidRPr="00BB6FFA">
        <w:rPr>
          <w:b/>
        </w:rPr>
        <w:t>Raport z opiniowania i konsultacji publicznych</w:t>
      </w:r>
    </w:p>
    <w:p w14:paraId="06A62918" w14:textId="5910883A" w:rsidR="006E544C" w:rsidRPr="00BB6FFA" w:rsidRDefault="007E268A" w:rsidP="00BB6FFA">
      <w:pPr>
        <w:tabs>
          <w:tab w:val="left" w:pos="10773"/>
        </w:tabs>
        <w:autoSpaceDN w:val="0"/>
        <w:spacing w:after="0"/>
        <w:jc w:val="center"/>
        <w:rPr>
          <w:b/>
        </w:rPr>
      </w:pPr>
      <w:r w:rsidRPr="00BB6FFA">
        <w:rPr>
          <w:b/>
        </w:rPr>
        <w:t>p</w:t>
      </w:r>
      <w:r w:rsidR="006E544C" w:rsidRPr="00BB6FFA">
        <w:rPr>
          <w:b/>
        </w:rPr>
        <w:t>rojektu ustawy o zmianie ustawy o zastawie rejestrowym i rejestrze zastawów oraz ustawy prawo o ruchu drogowym (UD13)</w:t>
      </w:r>
    </w:p>
    <w:p w14:paraId="52F09DCB" w14:textId="77777777" w:rsidR="006E544C" w:rsidRPr="00BB322B" w:rsidRDefault="006E544C" w:rsidP="000F7F75">
      <w:pPr>
        <w:tabs>
          <w:tab w:val="left" w:pos="10773"/>
        </w:tabs>
        <w:spacing w:after="0"/>
        <w:jc w:val="both"/>
        <w:rPr>
          <w:bCs/>
        </w:rPr>
      </w:pPr>
    </w:p>
    <w:p w14:paraId="73E25A6C" w14:textId="77777777" w:rsidR="006E544C" w:rsidRPr="00BB322B" w:rsidRDefault="006E544C" w:rsidP="00E30143">
      <w:pPr>
        <w:tabs>
          <w:tab w:val="left" w:pos="10773"/>
        </w:tabs>
        <w:spacing w:after="0"/>
        <w:ind w:firstLine="633"/>
        <w:jc w:val="both"/>
        <w:rPr>
          <w:bCs/>
        </w:rPr>
      </w:pPr>
    </w:p>
    <w:p w14:paraId="193B1EE8" w14:textId="548F6DAA" w:rsidR="002B3EBF" w:rsidRPr="00BB322B" w:rsidRDefault="006E544C" w:rsidP="00E30143">
      <w:pPr>
        <w:jc w:val="both"/>
        <w:rPr>
          <w:bCs/>
        </w:rPr>
      </w:pPr>
      <w:r w:rsidRPr="00BB322B">
        <w:rPr>
          <w:bCs/>
        </w:rPr>
        <w:t>W ramach opini</w:t>
      </w:r>
      <w:r w:rsidR="002B3EBF" w:rsidRPr="00BB322B">
        <w:rPr>
          <w:bCs/>
        </w:rPr>
        <w:t>owania</w:t>
      </w:r>
      <w:r w:rsidRPr="00BB322B">
        <w:rPr>
          <w:bCs/>
        </w:rPr>
        <w:t xml:space="preserve"> i konsultacji publicznych projekt ustawy o zmianie ustawy o zastawie rejestrowym i rejestrze zastawów</w:t>
      </w:r>
      <w:r w:rsidR="00A6551C" w:rsidRPr="00BB322B">
        <w:rPr>
          <w:bCs/>
        </w:rPr>
        <w:t xml:space="preserve"> oraz ustawy prawo o ruchu drogowym (UD13) został przedstawiony</w:t>
      </w:r>
      <w:r w:rsidR="007E268A" w:rsidRPr="00BB322B">
        <w:rPr>
          <w:bCs/>
        </w:rPr>
        <w:t>: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Przewodnicząc</w:t>
      </w:r>
      <w:r w:rsidR="007E268A" w:rsidRPr="00BB322B">
        <w:rPr>
          <w:bCs/>
        </w:rPr>
        <w:t>emu</w:t>
      </w:r>
      <w:r w:rsidR="002B3EBF" w:rsidRPr="00BB322B">
        <w:rPr>
          <w:bCs/>
        </w:rPr>
        <w:t xml:space="preserve"> Krajowej Rady Sądownictwa,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Pierwsz</w:t>
      </w:r>
      <w:r w:rsidR="007E268A" w:rsidRPr="00BB322B">
        <w:rPr>
          <w:bCs/>
        </w:rPr>
        <w:t>emu</w:t>
      </w:r>
      <w:r w:rsidR="002B3EBF" w:rsidRPr="00BB322B">
        <w:rPr>
          <w:bCs/>
        </w:rPr>
        <w:t xml:space="preserve"> Prezes</w:t>
      </w:r>
      <w:r w:rsidR="002A07E9" w:rsidRPr="00BB322B">
        <w:rPr>
          <w:bCs/>
        </w:rPr>
        <w:t>owi</w:t>
      </w:r>
      <w:r w:rsidR="002B3EBF" w:rsidRPr="00BB322B">
        <w:rPr>
          <w:bCs/>
        </w:rPr>
        <w:t xml:space="preserve"> Sądu Najwyższego,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I Zastępc</w:t>
      </w:r>
      <w:r w:rsidR="007E268A" w:rsidRPr="00BB322B">
        <w:rPr>
          <w:bCs/>
        </w:rPr>
        <w:t>y</w:t>
      </w:r>
      <w:r w:rsidR="002B3EBF" w:rsidRPr="00BB322B">
        <w:rPr>
          <w:bCs/>
        </w:rPr>
        <w:t xml:space="preserve"> Prokuratora Generalnego Prokurator</w:t>
      </w:r>
      <w:r w:rsidR="002A07E9" w:rsidRPr="00BB322B">
        <w:rPr>
          <w:bCs/>
        </w:rPr>
        <w:t>owi</w:t>
      </w:r>
      <w:r w:rsidR="002B3EBF" w:rsidRPr="00BB322B">
        <w:rPr>
          <w:bCs/>
        </w:rPr>
        <w:t xml:space="preserve"> Krajow</w:t>
      </w:r>
      <w:r w:rsidR="002A07E9" w:rsidRPr="00BB322B">
        <w:rPr>
          <w:bCs/>
        </w:rPr>
        <w:t>emu</w:t>
      </w:r>
      <w:r w:rsidR="002B3EBF" w:rsidRPr="00BB322B">
        <w:rPr>
          <w:bCs/>
        </w:rPr>
        <w:t>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Prezes</w:t>
      </w:r>
      <w:r w:rsidR="007E268A" w:rsidRPr="00BB322B">
        <w:rPr>
          <w:bCs/>
        </w:rPr>
        <w:t>owi</w:t>
      </w:r>
      <w:r w:rsidR="002B3EBF" w:rsidRPr="00BB322B">
        <w:rPr>
          <w:bCs/>
        </w:rPr>
        <w:t xml:space="preserve"> Urzędu Ochrony Danych Osobowych,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 xml:space="preserve"> Prezes</w:t>
      </w:r>
      <w:r w:rsidR="007E268A" w:rsidRPr="00BB322B">
        <w:rPr>
          <w:bCs/>
        </w:rPr>
        <w:t>owi</w:t>
      </w:r>
      <w:r w:rsidR="002B3EBF" w:rsidRPr="00BB322B">
        <w:rPr>
          <w:bCs/>
        </w:rPr>
        <w:t xml:space="preserve"> Naczelnej Rady Adwokackiej,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Prezes</w:t>
      </w:r>
      <w:r w:rsidR="002A07E9" w:rsidRPr="00BB322B">
        <w:rPr>
          <w:bCs/>
        </w:rPr>
        <w:t>owi</w:t>
      </w:r>
      <w:r w:rsidR="002B3EBF" w:rsidRPr="00BB322B">
        <w:rPr>
          <w:bCs/>
        </w:rPr>
        <w:t xml:space="preserve"> Krajowej Rady Radców Prawnych.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Prezes</w:t>
      </w:r>
      <w:r w:rsidR="007E268A" w:rsidRPr="00BB322B">
        <w:rPr>
          <w:bCs/>
        </w:rPr>
        <w:t>om</w:t>
      </w:r>
      <w:r w:rsidR="002B3EBF" w:rsidRPr="00BB322B">
        <w:rPr>
          <w:bCs/>
        </w:rPr>
        <w:t xml:space="preserve"> Sąd</w:t>
      </w:r>
      <w:r w:rsidR="007E268A" w:rsidRPr="00BB322B">
        <w:rPr>
          <w:bCs/>
        </w:rPr>
        <w:t>ów</w:t>
      </w:r>
      <w:r w:rsidR="002B3EBF" w:rsidRPr="00BB322B">
        <w:rPr>
          <w:bCs/>
        </w:rPr>
        <w:t xml:space="preserve"> Apelac</w:t>
      </w:r>
      <w:r w:rsidR="007E268A" w:rsidRPr="00BB322B">
        <w:rPr>
          <w:bCs/>
        </w:rPr>
        <w:t>yjnych,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Krajow</w:t>
      </w:r>
      <w:r w:rsidR="007E268A" w:rsidRPr="00BB322B">
        <w:rPr>
          <w:bCs/>
        </w:rPr>
        <w:t>ej</w:t>
      </w:r>
      <w:r w:rsidR="002B3EBF" w:rsidRPr="00BB322B">
        <w:rPr>
          <w:bCs/>
        </w:rPr>
        <w:t xml:space="preserve"> Rad</w:t>
      </w:r>
      <w:r w:rsidR="007E268A" w:rsidRPr="00BB322B">
        <w:rPr>
          <w:bCs/>
        </w:rPr>
        <w:t>zie</w:t>
      </w:r>
      <w:r w:rsidR="002B3EBF" w:rsidRPr="00BB322B">
        <w:rPr>
          <w:bCs/>
        </w:rPr>
        <w:t xml:space="preserve"> Notarialn</w:t>
      </w:r>
      <w:r w:rsidR="007E268A" w:rsidRPr="00BB322B">
        <w:rPr>
          <w:bCs/>
        </w:rPr>
        <w:t>ej</w:t>
      </w:r>
      <w:r w:rsidR="002B3EBF" w:rsidRPr="00BB322B">
        <w:rPr>
          <w:bCs/>
        </w:rPr>
        <w:t>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Krajow</w:t>
      </w:r>
      <w:r w:rsidR="007E268A" w:rsidRPr="00BB322B">
        <w:rPr>
          <w:bCs/>
        </w:rPr>
        <w:t>ej</w:t>
      </w:r>
      <w:r w:rsidR="002B3EBF" w:rsidRPr="00BB322B">
        <w:rPr>
          <w:bCs/>
        </w:rPr>
        <w:t xml:space="preserve"> Izb</w:t>
      </w:r>
      <w:r w:rsidR="007E268A" w:rsidRPr="00BB322B">
        <w:rPr>
          <w:bCs/>
        </w:rPr>
        <w:t>ie</w:t>
      </w:r>
      <w:r w:rsidR="002B3EBF" w:rsidRPr="00BB322B">
        <w:rPr>
          <w:bCs/>
        </w:rPr>
        <w:t xml:space="preserve"> Biegłych Rewidentów,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Stowarzyszeni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Sędziów Polskich „Iustitia”,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Stowarzyszeni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Sędziów „Themis”,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Stowarzyszeni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Prokuratorów Rzeczypospolitej Polskiej,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Niezależne</w:t>
      </w:r>
      <w:r w:rsidR="007E268A" w:rsidRPr="00BB322B">
        <w:rPr>
          <w:bCs/>
        </w:rPr>
        <w:t>mu</w:t>
      </w:r>
      <w:r w:rsidR="002B3EBF" w:rsidRPr="00BB322B">
        <w:rPr>
          <w:bCs/>
        </w:rPr>
        <w:t xml:space="preserve"> Stowarzyszeni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Prokuratorów „Ad Vocem”,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Stowarzyszeni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Referendarzy Sądowych LEX JUSTA,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Stowarzyszeni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Referendarzy Sądowych Rzeczypospolitej Polskiej,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Ogólnopolskie</w:t>
      </w:r>
      <w:r w:rsidR="007E268A" w:rsidRPr="00BB322B">
        <w:rPr>
          <w:bCs/>
        </w:rPr>
        <w:t>mu</w:t>
      </w:r>
      <w:r w:rsidR="002B3EBF" w:rsidRPr="00BB322B">
        <w:rPr>
          <w:bCs/>
        </w:rPr>
        <w:t xml:space="preserve"> Stowarzyszeni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Referendarzy Sądowych,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Polski</w:t>
      </w:r>
      <w:r w:rsidR="007E268A" w:rsidRPr="00BB322B">
        <w:rPr>
          <w:bCs/>
        </w:rPr>
        <w:t>emu</w:t>
      </w:r>
      <w:r w:rsidR="002B3EBF" w:rsidRPr="00BB322B">
        <w:rPr>
          <w:bCs/>
        </w:rPr>
        <w:t xml:space="preserve"> Związ</w:t>
      </w:r>
      <w:r w:rsidR="007E268A" w:rsidRPr="00BB322B">
        <w:rPr>
          <w:bCs/>
        </w:rPr>
        <w:t>kowi</w:t>
      </w:r>
      <w:r w:rsidR="002B3EBF" w:rsidRPr="00BB322B">
        <w:rPr>
          <w:bCs/>
        </w:rPr>
        <w:t xml:space="preserve"> Pracodawców Prawniczych,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Stowarzyszeni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Prawnicy dla Polski,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Fundacj</w:t>
      </w:r>
      <w:r w:rsidR="007E268A" w:rsidRPr="00BB322B">
        <w:rPr>
          <w:bCs/>
        </w:rPr>
        <w:t>i</w:t>
      </w:r>
      <w:r w:rsidR="002B3EBF" w:rsidRPr="00BB322B">
        <w:rPr>
          <w:bCs/>
        </w:rPr>
        <w:t xml:space="preserve"> Panoptykon,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Fundacj</w:t>
      </w:r>
      <w:r w:rsidR="007E268A" w:rsidRPr="00BB322B">
        <w:rPr>
          <w:bCs/>
        </w:rPr>
        <w:t>i</w:t>
      </w:r>
      <w:r w:rsidR="002B3EBF" w:rsidRPr="00BB322B">
        <w:rPr>
          <w:bCs/>
        </w:rPr>
        <w:t xml:space="preserve"> Court Watch Polska,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Fundacj</w:t>
      </w:r>
      <w:r w:rsidR="007E268A" w:rsidRPr="00BB322B">
        <w:rPr>
          <w:bCs/>
        </w:rPr>
        <w:t>i</w:t>
      </w:r>
      <w:r w:rsidR="002B3EBF" w:rsidRPr="00BB322B">
        <w:rPr>
          <w:bCs/>
        </w:rPr>
        <w:t xml:space="preserve"> im. Stefana Batorego,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Fundacj</w:t>
      </w:r>
      <w:r w:rsidR="007E268A" w:rsidRPr="00BB322B">
        <w:rPr>
          <w:bCs/>
        </w:rPr>
        <w:t>i</w:t>
      </w:r>
      <w:r w:rsidR="002B3EBF" w:rsidRPr="00BB322B">
        <w:rPr>
          <w:bCs/>
        </w:rPr>
        <w:t xml:space="preserve"> na Rzecz Bezpiecznego Obrotu Prawnego,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Związ</w:t>
      </w:r>
      <w:r w:rsidR="007E268A" w:rsidRPr="00BB322B">
        <w:rPr>
          <w:bCs/>
        </w:rPr>
        <w:t>kowi</w:t>
      </w:r>
      <w:r w:rsidR="002B3EBF" w:rsidRPr="00BB322B">
        <w:rPr>
          <w:bCs/>
        </w:rPr>
        <w:t xml:space="preserve"> Banków Polskich,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Krajo</w:t>
      </w:r>
      <w:r w:rsidR="007E268A" w:rsidRPr="00BB322B">
        <w:rPr>
          <w:bCs/>
        </w:rPr>
        <w:t>wej</w:t>
      </w:r>
      <w:r w:rsidR="002B3EBF" w:rsidRPr="00BB322B">
        <w:rPr>
          <w:bCs/>
        </w:rPr>
        <w:t xml:space="preserve"> Izb</w:t>
      </w:r>
      <w:r w:rsidR="007E268A" w:rsidRPr="00BB322B">
        <w:rPr>
          <w:bCs/>
        </w:rPr>
        <w:t>ie</w:t>
      </w:r>
      <w:r w:rsidR="002B3EBF" w:rsidRPr="00BB322B">
        <w:rPr>
          <w:bCs/>
        </w:rPr>
        <w:t xml:space="preserve"> Gospodarcz</w:t>
      </w:r>
      <w:r w:rsidR="007E268A" w:rsidRPr="00BB322B">
        <w:rPr>
          <w:bCs/>
        </w:rPr>
        <w:t>ej</w:t>
      </w:r>
      <w:r w:rsidR="002B3EBF" w:rsidRPr="00BB322B">
        <w:rPr>
          <w:bCs/>
        </w:rPr>
        <w:t>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Pols</w:t>
      </w:r>
      <w:r w:rsidR="007E268A" w:rsidRPr="00BB322B">
        <w:rPr>
          <w:bCs/>
        </w:rPr>
        <w:t>kiej</w:t>
      </w:r>
      <w:r w:rsidR="002B3EBF" w:rsidRPr="00BB322B">
        <w:rPr>
          <w:bCs/>
        </w:rPr>
        <w:t xml:space="preserve"> Konfederacj</w:t>
      </w:r>
      <w:r w:rsidR="007E268A" w:rsidRPr="00BB322B">
        <w:rPr>
          <w:bCs/>
        </w:rPr>
        <w:t>i</w:t>
      </w:r>
      <w:r w:rsidR="002B3EBF" w:rsidRPr="00BB322B">
        <w:rPr>
          <w:bCs/>
        </w:rPr>
        <w:t xml:space="preserve"> Pracodawców Prywatnych „Lewiatan”,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Polsk</w:t>
      </w:r>
      <w:r w:rsidR="007E268A" w:rsidRPr="00BB322B">
        <w:rPr>
          <w:bCs/>
        </w:rPr>
        <w:t>iej</w:t>
      </w:r>
      <w:r w:rsidR="002B3EBF" w:rsidRPr="00BB322B">
        <w:rPr>
          <w:bCs/>
        </w:rPr>
        <w:t xml:space="preserve"> Rad</w:t>
      </w:r>
      <w:r w:rsidR="007E268A" w:rsidRPr="00BB322B">
        <w:rPr>
          <w:bCs/>
        </w:rPr>
        <w:t>zie</w:t>
      </w:r>
      <w:r w:rsidR="002B3EBF" w:rsidRPr="00BB322B">
        <w:rPr>
          <w:bCs/>
        </w:rPr>
        <w:t xml:space="preserve"> Biznesu,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Pocz</w:t>
      </w:r>
      <w:r w:rsidR="007E268A" w:rsidRPr="00BB322B">
        <w:rPr>
          <w:bCs/>
        </w:rPr>
        <w:t>cie</w:t>
      </w:r>
      <w:r w:rsidR="002B3EBF" w:rsidRPr="00BB322B">
        <w:rPr>
          <w:bCs/>
        </w:rPr>
        <w:t xml:space="preserve"> Polsk</w:t>
      </w:r>
      <w:r w:rsidR="007E268A" w:rsidRPr="00BB322B">
        <w:rPr>
          <w:bCs/>
        </w:rPr>
        <w:t>iej</w:t>
      </w:r>
      <w:r w:rsidR="002B3EBF" w:rsidRPr="00BB322B">
        <w:rPr>
          <w:bCs/>
        </w:rPr>
        <w:t xml:space="preserve"> S.A.,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Biur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Informacji Kredytowej,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Niezależ</w:t>
      </w:r>
      <w:r w:rsidR="007E268A" w:rsidRPr="00BB322B">
        <w:rPr>
          <w:bCs/>
        </w:rPr>
        <w:t>nemu</w:t>
      </w:r>
      <w:r w:rsidR="002B3EBF" w:rsidRPr="00BB322B">
        <w:rPr>
          <w:bCs/>
        </w:rPr>
        <w:t xml:space="preserve"> Samorządn</w:t>
      </w:r>
      <w:r w:rsidR="007E268A" w:rsidRPr="00BB322B">
        <w:rPr>
          <w:bCs/>
        </w:rPr>
        <w:t>emu</w:t>
      </w:r>
      <w:r w:rsidR="002B3EBF" w:rsidRPr="00BB322B">
        <w:rPr>
          <w:bCs/>
        </w:rPr>
        <w:t xml:space="preserve"> Związ</w:t>
      </w:r>
      <w:r w:rsidR="007E268A" w:rsidRPr="00BB322B">
        <w:rPr>
          <w:bCs/>
        </w:rPr>
        <w:t>kowi</w:t>
      </w:r>
      <w:r w:rsidR="002B3EBF" w:rsidRPr="00BB322B">
        <w:rPr>
          <w:bCs/>
        </w:rPr>
        <w:t xml:space="preserve"> Zawodow</w:t>
      </w:r>
      <w:r w:rsidR="007E268A" w:rsidRPr="00BB322B">
        <w:rPr>
          <w:bCs/>
        </w:rPr>
        <w:t>emu</w:t>
      </w:r>
      <w:r w:rsidR="002B3EBF" w:rsidRPr="00BB322B">
        <w:rPr>
          <w:bCs/>
        </w:rPr>
        <w:t xml:space="preserve"> „Solidarność”,</w:t>
      </w:r>
      <w:r w:rsidR="002A07E9" w:rsidRPr="00BB322B">
        <w:rPr>
          <w:bCs/>
        </w:rPr>
        <w:t xml:space="preserve"> </w:t>
      </w:r>
      <w:r w:rsidR="007E268A" w:rsidRPr="00BB322B">
        <w:rPr>
          <w:bCs/>
        </w:rPr>
        <w:t>Ogólnopolskiemu</w:t>
      </w:r>
      <w:r w:rsidR="002B3EBF" w:rsidRPr="00BB322B">
        <w:rPr>
          <w:bCs/>
        </w:rPr>
        <w:t xml:space="preserve"> Porozumieni</w:t>
      </w:r>
      <w:r w:rsidR="007E268A" w:rsidRPr="00BB322B">
        <w:rPr>
          <w:bCs/>
        </w:rPr>
        <w:t>u</w:t>
      </w:r>
      <w:r w:rsidR="002B3EBF" w:rsidRPr="00BB322B">
        <w:rPr>
          <w:bCs/>
        </w:rPr>
        <w:t xml:space="preserve"> Związków Zawodowych,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Forum Związków Zawodowych,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Konfederacj</w:t>
      </w:r>
      <w:r w:rsidR="007E268A" w:rsidRPr="00BB322B">
        <w:rPr>
          <w:bCs/>
        </w:rPr>
        <w:t>i</w:t>
      </w:r>
      <w:r w:rsidR="002B3EBF" w:rsidRPr="00BB322B">
        <w:rPr>
          <w:bCs/>
        </w:rPr>
        <w:t xml:space="preserve"> Lewiatan,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Pracodaw</w:t>
      </w:r>
      <w:r w:rsidR="007E268A" w:rsidRPr="00BB322B">
        <w:rPr>
          <w:bCs/>
        </w:rPr>
        <w:t>com</w:t>
      </w:r>
      <w:r w:rsidR="002B3EBF" w:rsidRPr="00BB322B">
        <w:rPr>
          <w:bCs/>
        </w:rPr>
        <w:t xml:space="preserve"> Rzeczypospolitej Polskiej,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Związ</w:t>
      </w:r>
      <w:r w:rsidR="007E268A" w:rsidRPr="00BB322B">
        <w:rPr>
          <w:bCs/>
        </w:rPr>
        <w:t>kowi</w:t>
      </w:r>
      <w:r w:rsidR="002B3EBF" w:rsidRPr="00BB322B">
        <w:rPr>
          <w:bCs/>
        </w:rPr>
        <w:t xml:space="preserve"> Rzemiosła Polskiego,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Związ</w:t>
      </w:r>
      <w:r w:rsidR="007E268A" w:rsidRPr="00BB322B">
        <w:rPr>
          <w:bCs/>
        </w:rPr>
        <w:t>kowi</w:t>
      </w:r>
      <w:r w:rsidR="002B3EBF" w:rsidRPr="00BB322B">
        <w:rPr>
          <w:bCs/>
        </w:rPr>
        <w:t xml:space="preserve"> Pracodawców Business Centre Club,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Związ</w:t>
      </w:r>
      <w:r w:rsidR="007E268A" w:rsidRPr="00BB322B">
        <w:rPr>
          <w:bCs/>
        </w:rPr>
        <w:t>kowi</w:t>
      </w:r>
      <w:r w:rsidR="002B3EBF" w:rsidRPr="00BB322B">
        <w:rPr>
          <w:bCs/>
        </w:rPr>
        <w:t xml:space="preserve"> Przedsiębiorców i Pracodawców,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Federacj</w:t>
      </w:r>
      <w:r w:rsidR="007E268A" w:rsidRPr="00BB322B">
        <w:rPr>
          <w:bCs/>
        </w:rPr>
        <w:t>i</w:t>
      </w:r>
      <w:r w:rsidR="002B3EBF" w:rsidRPr="00BB322B">
        <w:rPr>
          <w:bCs/>
        </w:rPr>
        <w:t xml:space="preserve"> Przedsiębiorców Polskich,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Urz</w:t>
      </w:r>
      <w:r w:rsidR="007E268A" w:rsidRPr="00BB322B">
        <w:rPr>
          <w:bCs/>
        </w:rPr>
        <w:t>ędowi</w:t>
      </w:r>
      <w:r w:rsidR="002B3EBF" w:rsidRPr="00BB322B">
        <w:rPr>
          <w:bCs/>
        </w:rPr>
        <w:t xml:space="preserve"> Patento</w:t>
      </w:r>
      <w:r w:rsidR="007E268A" w:rsidRPr="00BB322B">
        <w:rPr>
          <w:bCs/>
        </w:rPr>
        <w:t>wemu</w:t>
      </w:r>
      <w:r w:rsidR="002B3EBF" w:rsidRPr="00BB322B">
        <w:rPr>
          <w:bCs/>
        </w:rPr>
        <w:t>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Urz</w:t>
      </w:r>
      <w:r w:rsidR="007E268A" w:rsidRPr="00BB322B">
        <w:rPr>
          <w:bCs/>
        </w:rPr>
        <w:t>ędowi</w:t>
      </w:r>
      <w:r w:rsidR="002B3EBF" w:rsidRPr="00BB322B">
        <w:rPr>
          <w:bCs/>
        </w:rPr>
        <w:t xml:space="preserve"> Lotnictwa Cywilnego,</w:t>
      </w:r>
      <w:r w:rsidR="002A07E9" w:rsidRPr="00BB322B">
        <w:rPr>
          <w:bCs/>
        </w:rPr>
        <w:t xml:space="preserve"> </w:t>
      </w:r>
      <w:r w:rsidR="002B3EBF" w:rsidRPr="00BB322B">
        <w:rPr>
          <w:bCs/>
        </w:rPr>
        <w:t>Rad</w:t>
      </w:r>
      <w:r w:rsidR="00434791" w:rsidRPr="00BB322B">
        <w:rPr>
          <w:bCs/>
        </w:rPr>
        <w:t>zie</w:t>
      </w:r>
      <w:r w:rsidR="002B3EBF" w:rsidRPr="00BB322B">
        <w:rPr>
          <w:bCs/>
        </w:rPr>
        <w:t xml:space="preserve"> Dialogu Społecznego.</w:t>
      </w:r>
    </w:p>
    <w:p w14:paraId="1C16D1A8" w14:textId="1BA0B073" w:rsidR="00BD7C6F" w:rsidRPr="00BB322B" w:rsidRDefault="000B398F" w:rsidP="00E30143">
      <w:pPr>
        <w:jc w:val="both"/>
        <w:rPr>
          <w:bCs/>
        </w:rPr>
      </w:pPr>
      <w:r w:rsidRPr="00BB322B">
        <w:rPr>
          <w:bCs/>
        </w:rPr>
        <w:t>Informacja o udostepnieniu projektu wraz z uzasadnieniem</w:t>
      </w:r>
      <w:r w:rsidR="00BD7C6F" w:rsidRPr="00BB322B">
        <w:rPr>
          <w:bCs/>
        </w:rPr>
        <w:t xml:space="preserve"> została wysłana</w:t>
      </w:r>
      <w:r w:rsidRPr="00BB322B">
        <w:rPr>
          <w:bCs/>
        </w:rPr>
        <w:t xml:space="preserve"> do ww. podmiotów</w:t>
      </w:r>
      <w:r w:rsidR="00BD7C6F" w:rsidRPr="00BB322B">
        <w:rPr>
          <w:bCs/>
        </w:rPr>
        <w:t xml:space="preserve"> w dniu 27 czerwca 2024 r. </w:t>
      </w:r>
      <w:r w:rsidRPr="00BB322B">
        <w:rPr>
          <w:bCs/>
        </w:rPr>
        <w:t>Termin na zgłaszanie uwag został określony na 30 dni.</w:t>
      </w:r>
    </w:p>
    <w:p w14:paraId="3B16F4FF" w14:textId="77777777" w:rsidR="00777C37" w:rsidRPr="00BB322B" w:rsidRDefault="00777C37" w:rsidP="00E30143">
      <w:pPr>
        <w:jc w:val="both"/>
        <w:rPr>
          <w:bCs/>
        </w:rPr>
      </w:pPr>
      <w:r w:rsidRPr="00BB322B">
        <w:rPr>
          <w:bCs/>
        </w:rPr>
        <w:t>W toku opiniowania i konsultacji uwagi zostały zgłoszone przez:</w:t>
      </w:r>
    </w:p>
    <w:p w14:paraId="3EF219C1" w14:textId="68D2E84A" w:rsidR="002A07E9" w:rsidRPr="00BB322B" w:rsidRDefault="00FF0763" w:rsidP="00E3014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322B">
        <w:rPr>
          <w:rFonts w:ascii="Times New Roman" w:hAnsi="Times New Roman" w:cs="Times New Roman"/>
          <w:bCs/>
          <w:sz w:val="24"/>
          <w:szCs w:val="24"/>
        </w:rPr>
        <w:t>Sąd Najwyższy</w:t>
      </w:r>
      <w:r w:rsidR="002A07E9" w:rsidRPr="00BB322B">
        <w:rPr>
          <w:rFonts w:ascii="Times New Roman" w:hAnsi="Times New Roman" w:cs="Times New Roman"/>
          <w:bCs/>
          <w:sz w:val="24"/>
          <w:szCs w:val="24"/>
        </w:rPr>
        <w:t>,</w:t>
      </w:r>
    </w:p>
    <w:p w14:paraId="14794BFC" w14:textId="0D128C23" w:rsidR="002A07E9" w:rsidRPr="00BB322B" w:rsidRDefault="00926425" w:rsidP="00E3014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322B">
        <w:rPr>
          <w:rFonts w:ascii="Times New Roman" w:hAnsi="Times New Roman" w:cs="Times New Roman"/>
          <w:bCs/>
          <w:sz w:val="24"/>
          <w:szCs w:val="24"/>
        </w:rPr>
        <w:t>Prezesa Sądu Apelacyjnego w Rzeszowie,</w:t>
      </w:r>
    </w:p>
    <w:p w14:paraId="228F3A70" w14:textId="4F806CC1" w:rsidR="00926425" w:rsidRPr="00BB322B" w:rsidRDefault="00926425" w:rsidP="00E3014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322B">
        <w:rPr>
          <w:rFonts w:ascii="Times New Roman" w:hAnsi="Times New Roman" w:cs="Times New Roman"/>
          <w:bCs/>
          <w:sz w:val="24"/>
          <w:szCs w:val="24"/>
        </w:rPr>
        <w:t>Prezesa Sądu Apelacyjnego w Krakowie,</w:t>
      </w:r>
    </w:p>
    <w:p w14:paraId="7A72133A" w14:textId="1D092B82" w:rsidR="00926425" w:rsidRPr="00BB322B" w:rsidRDefault="00926425" w:rsidP="00E3014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322B">
        <w:rPr>
          <w:rFonts w:ascii="Times New Roman" w:hAnsi="Times New Roman" w:cs="Times New Roman"/>
          <w:bCs/>
          <w:sz w:val="24"/>
          <w:szCs w:val="24"/>
        </w:rPr>
        <w:t>Prezesa Sądu Apelacyjnego we Wrocławiu,</w:t>
      </w:r>
    </w:p>
    <w:p w14:paraId="6C9265B6" w14:textId="195B7F3E" w:rsidR="00926425" w:rsidRPr="00BB322B" w:rsidRDefault="00926425" w:rsidP="00E3014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322B">
        <w:rPr>
          <w:rFonts w:ascii="Times New Roman" w:hAnsi="Times New Roman" w:cs="Times New Roman"/>
          <w:bCs/>
          <w:sz w:val="24"/>
          <w:szCs w:val="24"/>
        </w:rPr>
        <w:t>Krajową Izbę Radców Prawnych</w:t>
      </w:r>
    </w:p>
    <w:p w14:paraId="409BE787" w14:textId="33558C52" w:rsidR="003F1DA2" w:rsidRPr="00BB322B" w:rsidRDefault="00742928" w:rsidP="00E30143">
      <w:pPr>
        <w:jc w:val="both"/>
        <w:rPr>
          <w:bCs/>
        </w:rPr>
      </w:pPr>
      <w:r w:rsidRPr="00BB322B">
        <w:rPr>
          <w:bCs/>
        </w:rPr>
        <w:t>Poniżej uwagi zgłoszone przez ww. podmioty i odniesienie się do nich projektodawcy.</w:t>
      </w:r>
    </w:p>
    <w:p w14:paraId="24A823E5" w14:textId="69ED692F" w:rsidR="00C1354C" w:rsidRPr="00BB322B" w:rsidRDefault="009F67E6" w:rsidP="00E30143">
      <w:pPr>
        <w:jc w:val="both"/>
        <w:rPr>
          <w:rFonts w:eastAsia="Calibri"/>
          <w:bCs/>
          <w:color w:val="000000"/>
        </w:rPr>
      </w:pPr>
      <w:r w:rsidRPr="00BB322B">
        <w:rPr>
          <w:bCs/>
        </w:rPr>
        <w:t>Ad. 1)</w:t>
      </w:r>
      <w:r w:rsidR="00774B32" w:rsidRPr="00BB322B">
        <w:rPr>
          <w:bCs/>
        </w:rPr>
        <w:t xml:space="preserve"> </w:t>
      </w:r>
      <w:r w:rsidR="00C1354C" w:rsidRPr="00BB322B">
        <w:rPr>
          <w:bCs/>
        </w:rPr>
        <w:t>S</w:t>
      </w:r>
      <w:r w:rsidR="00774B32" w:rsidRPr="00BB322B">
        <w:rPr>
          <w:bCs/>
        </w:rPr>
        <w:t>ąd Najwyższ</w:t>
      </w:r>
      <w:r w:rsidR="00742928" w:rsidRPr="00BB322B">
        <w:rPr>
          <w:bCs/>
        </w:rPr>
        <w:t>y</w:t>
      </w:r>
      <w:r w:rsidR="00774B32" w:rsidRPr="00BB322B">
        <w:rPr>
          <w:bCs/>
        </w:rPr>
        <w:t xml:space="preserve"> </w:t>
      </w:r>
      <w:r w:rsidR="00FD21C7" w:rsidRPr="00BB322B">
        <w:rPr>
          <w:bCs/>
        </w:rPr>
        <w:t>wskazał</w:t>
      </w:r>
      <w:r w:rsidR="00163BA7" w:rsidRPr="00BB322B">
        <w:rPr>
          <w:bCs/>
        </w:rPr>
        <w:t xml:space="preserve">, że zmiany w rejestrze </w:t>
      </w:r>
      <w:r w:rsidR="00163BA7" w:rsidRPr="00BB322B">
        <w:rPr>
          <w:rFonts w:eastAsia="Calibri"/>
          <w:bCs/>
          <w:color w:val="000000"/>
        </w:rPr>
        <w:t xml:space="preserve">zastawów nie powinny być dokonywane bez podstawy w postaci postanowienia sądu, które podlega doręczeniu i które może zostać zaskarżone, a w razie gdy jest błędne, zmienione przez sąd II instancji. </w:t>
      </w:r>
    </w:p>
    <w:p w14:paraId="654904F3" w14:textId="70D37993" w:rsidR="009F67E6" w:rsidRPr="00BB322B" w:rsidRDefault="00C1354C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lastRenderedPageBreak/>
        <w:t>Wskazał, że k</w:t>
      </w:r>
      <w:r w:rsidR="009F67E6" w:rsidRPr="00BB322B">
        <w:rPr>
          <w:rFonts w:eastAsia="Calibri"/>
          <w:bCs/>
          <w:color w:val="000000"/>
        </w:rPr>
        <w:t xml:space="preserve">oncepcja zastąpienia </w:t>
      </w:r>
      <w:r w:rsidRPr="00BB322B">
        <w:rPr>
          <w:rFonts w:eastAsia="Calibri"/>
          <w:bCs/>
          <w:color w:val="000000"/>
        </w:rPr>
        <w:t xml:space="preserve">- </w:t>
      </w:r>
      <w:r w:rsidR="009F67E6" w:rsidRPr="00BB322B">
        <w:rPr>
          <w:rFonts w:eastAsia="Calibri"/>
          <w:bCs/>
          <w:color w:val="000000"/>
        </w:rPr>
        <w:t xml:space="preserve">podlegającego doręczeniu postanowienia sądu o wykreśleniu zastawu rejestrowego </w:t>
      </w:r>
      <w:r w:rsidRPr="00BB322B">
        <w:rPr>
          <w:rFonts w:eastAsia="Calibri"/>
          <w:bCs/>
          <w:color w:val="000000"/>
        </w:rPr>
        <w:t xml:space="preserve">- </w:t>
      </w:r>
      <w:r w:rsidR="009F67E6" w:rsidRPr="00BB322B">
        <w:rPr>
          <w:rFonts w:eastAsia="Calibri"/>
          <w:bCs/>
          <w:color w:val="000000"/>
        </w:rPr>
        <w:t xml:space="preserve">niepodlegającym doręczeniu zarządzeniem o adnotacji w rejestrze, powinna zostać ponownie rozważona właśnie w świetle </w:t>
      </w:r>
      <w:r w:rsidRPr="00BB322B">
        <w:rPr>
          <w:rFonts w:eastAsia="Calibri"/>
          <w:bCs/>
          <w:color w:val="000000"/>
        </w:rPr>
        <w:t>art. 45 ust. 1 w zw. z art. 31 ust. 3, art. 78, art. 175 i art. 176 ust 1 Konstytucji RP</w:t>
      </w:r>
      <w:r w:rsidR="009F67E6" w:rsidRPr="00BB322B">
        <w:rPr>
          <w:rFonts w:eastAsia="Calibri"/>
          <w:bCs/>
          <w:color w:val="000000"/>
        </w:rPr>
        <w:t xml:space="preserve">. </w:t>
      </w:r>
    </w:p>
    <w:p w14:paraId="241C515A" w14:textId="2306486B" w:rsidR="00C1354C" w:rsidRPr="00BB322B" w:rsidRDefault="00120514" w:rsidP="001C7AF7">
      <w:pPr>
        <w:spacing w:after="0"/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 xml:space="preserve">Sąd Najwyższy zaproponował również </w:t>
      </w:r>
      <w:r w:rsidR="00C1354C" w:rsidRPr="00BB322B">
        <w:rPr>
          <w:rFonts w:eastAsia="Calibri"/>
          <w:bCs/>
          <w:color w:val="000000"/>
        </w:rPr>
        <w:t>nowelizacj</w:t>
      </w:r>
      <w:r w:rsidRPr="00BB322B">
        <w:rPr>
          <w:rFonts w:eastAsia="Calibri"/>
          <w:bCs/>
          <w:color w:val="000000"/>
        </w:rPr>
        <w:t>ę</w:t>
      </w:r>
      <w:r w:rsidR="00C1354C" w:rsidRPr="00BB322B">
        <w:rPr>
          <w:rFonts w:eastAsia="Calibri"/>
          <w:bCs/>
          <w:color w:val="000000"/>
        </w:rPr>
        <w:t xml:space="preserve"> art. 11 pkt 2 </w:t>
      </w:r>
      <w:r w:rsidRPr="00BB322B">
        <w:rPr>
          <w:rFonts w:eastAsia="Calibri"/>
          <w:bCs/>
          <w:color w:val="000000"/>
        </w:rPr>
        <w:t xml:space="preserve">ustawy z dnia 18 listopada 2020r. o doręczeniach elektronicznych (Dz. U. z 2024 r. poz. 1045 ze zm.) - </w:t>
      </w:r>
      <w:r w:rsidR="00C1354C" w:rsidRPr="00BB322B">
        <w:rPr>
          <w:rFonts w:eastAsia="Calibri"/>
          <w:bCs/>
          <w:color w:val="000000"/>
        </w:rPr>
        <w:t xml:space="preserve">przez poszerzenie katalogu podmiotów korzystających z rejestrów, dla których adres do doręczeń elektronicznych tworzy się automatycznie i art. 155 ust. 7 </w:t>
      </w:r>
      <w:r w:rsidRPr="00BB322B">
        <w:rPr>
          <w:rFonts w:eastAsia="Calibri"/>
          <w:bCs/>
          <w:color w:val="000000"/>
        </w:rPr>
        <w:t xml:space="preserve">ww. ustawy </w:t>
      </w:r>
      <w:r w:rsidR="00C1354C" w:rsidRPr="00BB322B">
        <w:rPr>
          <w:rFonts w:eastAsia="Calibri"/>
          <w:bCs/>
          <w:color w:val="000000"/>
        </w:rPr>
        <w:t>(przez określenie bliższego niż 2029 rok terminu rozpoczęcia stosowania ustawy o doręczeniach elektronicznych przez sąd prowadzący rejestr zastawów) oraz stworzenia w ustawie o zastawie rejestrowym i rejestrze zastawów rozwiązania szczególnego wobec art. 131</w:t>
      </w:r>
      <w:r w:rsidR="00C1354C" w:rsidRPr="00BB322B">
        <w:rPr>
          <w:rFonts w:eastAsia="Calibri"/>
          <w:bCs/>
          <w:color w:val="000000"/>
          <w:vertAlign w:val="superscript"/>
        </w:rPr>
        <w:t>2</w:t>
      </w:r>
      <w:r w:rsidR="00C1354C" w:rsidRPr="00BB322B">
        <w:rPr>
          <w:rFonts w:eastAsia="Calibri"/>
          <w:bCs/>
          <w:color w:val="000000"/>
        </w:rPr>
        <w:t xml:space="preserve"> kpc.</w:t>
      </w:r>
    </w:p>
    <w:p w14:paraId="65BBB284" w14:textId="32877725" w:rsidR="003C456D" w:rsidRPr="00BB322B" w:rsidRDefault="00B27272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 xml:space="preserve">Uwagi zgłoszone przez Sąd Najwyższy nie zostały uwzględnione. </w:t>
      </w:r>
      <w:r w:rsidR="003C456D" w:rsidRPr="00BB322B">
        <w:rPr>
          <w:rFonts w:eastAsia="Calibri"/>
          <w:bCs/>
          <w:color w:val="000000"/>
        </w:rPr>
        <w:t>Niniejszym projektem wprowadza się instytucję uznania zastawu wygasłego ex lege za wykreślony z mocy prawa. Tym samym zastaw taki należy traktować jak niefigurujący w rejestrze zastawów, w swojej mocy prawnej zrównany z wykreśleniem zastawu z rejestru. W opinii projektodawców - wobec przyjęcia fikcji prawnej uznania zastawu za wykreślony z mocy prawa - odpowiednim środkiem o charakterze informacyjnym będzie zaprojektowana w art. 41 ust. 2aa adnotacja, która pozwoli na ustalenie statusu zastawu.</w:t>
      </w:r>
    </w:p>
    <w:p w14:paraId="0EF97951" w14:textId="24C212E8" w:rsidR="003C456D" w:rsidRPr="00BB322B" w:rsidRDefault="003C456D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Tym samym nie będzie już konieczne wydawanie postanowienia w przedmiocie wykreślenia wygasłego ex lege zastawu i „fizyczne” usuwanie go z rejestru.</w:t>
      </w:r>
    </w:p>
    <w:p w14:paraId="52C3640D" w14:textId="766C462E" w:rsidR="003C456D" w:rsidRPr="00BB322B" w:rsidRDefault="003C456D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 xml:space="preserve">Adnotacja w systemie teleinformatycznym będzie tylko i wyłącznie czynnością o charakterze technicznym, bowiem zastaw wygasły ex lege, ex lege będzie uznany za wykreślony z rejestru. Skutkiem proponowanych regulacji zastaw taki nie będzie objęty również domniemaniem prawdziwości wpisu w rejestrze zastawów, gdyż z mocy prawa taki zastaw zostanie wykreślony. To z pewnością wzmocni domniemania związane z tym rejestrem, które to w obecnej sytuacji często obdarzają prawdziwością stan, który jest oczywiście sprzeczny ze stanem faktycznym. </w:t>
      </w:r>
    </w:p>
    <w:p w14:paraId="0295A79B" w14:textId="18E9DE0F" w:rsidR="008072D6" w:rsidRPr="00BB322B" w:rsidRDefault="00D7033D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Podkreślić</w:t>
      </w:r>
      <w:r w:rsidR="008072D6" w:rsidRPr="00BB322B">
        <w:rPr>
          <w:rFonts w:eastAsia="Calibri"/>
          <w:bCs/>
          <w:color w:val="000000"/>
        </w:rPr>
        <w:t xml:space="preserve"> również należy, że obecnie funkcjonują przepisy, na podstawie których odstępuje się od wydania orzeczenia (postanowienia). Przede wszystkim należy wskazać na art. 694</w:t>
      </w:r>
      <w:r w:rsidR="001C7AF7">
        <w:rPr>
          <w:rFonts w:eastAsia="Calibri"/>
          <w:bCs/>
          <w:color w:val="000000"/>
        </w:rPr>
        <w:t>(</w:t>
      </w:r>
      <w:r w:rsidR="008072D6" w:rsidRPr="00BB322B">
        <w:rPr>
          <w:rFonts w:eastAsia="Calibri"/>
          <w:bCs/>
          <w:color w:val="000000"/>
        </w:rPr>
        <w:t>5</w:t>
      </w:r>
      <w:r w:rsidR="001C7AF7">
        <w:rPr>
          <w:rFonts w:eastAsia="Calibri"/>
          <w:bCs/>
          <w:color w:val="000000"/>
        </w:rPr>
        <w:t>)</w:t>
      </w:r>
      <w:r w:rsidR="008072D6" w:rsidRPr="00BB322B">
        <w:rPr>
          <w:rFonts w:eastAsia="Calibri"/>
          <w:bCs/>
          <w:color w:val="000000"/>
        </w:rPr>
        <w:t xml:space="preserve"> §1 ustawy z dnia 17 listopada 1964 r. kodeks postępowania cywilnego (Dz. U. z 2023 r. poz. 1550 ze zm.), zgodnie z którym wpis do Krajowego Rejestru Sądowego następuje na podstawie postanowienia, jeżeli przepis szczególny nie stanowi inaczej.</w:t>
      </w:r>
    </w:p>
    <w:p w14:paraId="2E0F8537" w14:textId="20BBB7BF" w:rsidR="008072D6" w:rsidRPr="00BB322B" w:rsidRDefault="008072D6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Z kolei zgodnie z art. 46 ust. 2 ustawy z dnia 20 sierpnia 1997 r., o Krajowym Rejestrze Sądowym (Dz. U. z 2024 r. poz. 979 ze. zm.) wpisy dokonane w dziale 4 rejestru przedsiębiorców Krajowego Rejestru Sądowego są wykreślane automatycznie po upływie 7 lat od dnia ich dokonania. Automatycznie – bez konieczności wydania postanowienia – są wykreślane również wpisy w rejestrze dłużników niewypłacalnych. Artykuł 60 ust. 1 zdanie pierwsze ww. ustawy stanowi: wpisy do rejestru dłużników niewypłacalnych są wykreślane automatycznie po upływie 7 lat od dnia dokonania wpisu.</w:t>
      </w:r>
    </w:p>
    <w:p w14:paraId="22E7F75A" w14:textId="3AD61F11" w:rsidR="008072D6" w:rsidRPr="00BB322B" w:rsidRDefault="008072D6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lastRenderedPageBreak/>
        <w:t>Należy w tym miejscu zwrócić szczególną uwagę, że w przypadkach wyżej wymienionych następuje wykreślenie wpisów z Krajowego Rejestru Sądowego bez wydawania przez sąd</w:t>
      </w:r>
      <w:r w:rsidR="00D7033D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postanowienia.</w:t>
      </w:r>
    </w:p>
    <w:p w14:paraId="22577E48" w14:textId="2AED5AD9" w:rsidR="00D7033D" w:rsidRPr="00BB322B" w:rsidRDefault="00D7033D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Odnosząc się do naruszenia zasady dwuinstancyjności postępowania należy ponownie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 xml:space="preserve">wskazać, że wygasły zastaw </w:t>
      </w:r>
      <w:r w:rsidR="001C7AF7">
        <w:rPr>
          <w:rFonts w:eastAsia="Calibri"/>
          <w:bCs/>
          <w:color w:val="000000"/>
        </w:rPr>
        <w:t>będzie</w:t>
      </w:r>
      <w:r w:rsidRPr="00BB322B">
        <w:rPr>
          <w:rFonts w:eastAsia="Calibri"/>
          <w:bCs/>
          <w:color w:val="000000"/>
        </w:rPr>
        <w:t xml:space="preserve"> uznawany za wykreślony z mocy prawa, nie </w:t>
      </w:r>
      <w:r w:rsidR="001C7AF7">
        <w:rPr>
          <w:rFonts w:eastAsia="Calibri"/>
          <w:bCs/>
          <w:color w:val="000000"/>
        </w:rPr>
        <w:t>będzie</w:t>
      </w:r>
      <w:r w:rsidRPr="00BB322B">
        <w:rPr>
          <w:rFonts w:eastAsia="Calibri"/>
          <w:bCs/>
          <w:color w:val="000000"/>
        </w:rPr>
        <w:t xml:space="preserve"> zatem</w:t>
      </w:r>
      <w:r w:rsidR="00563789">
        <w:rPr>
          <w:rFonts w:eastAsia="Calibri"/>
          <w:bCs/>
          <w:color w:val="000000"/>
        </w:rPr>
        <w:t xml:space="preserve"> </w:t>
      </w:r>
      <w:r w:rsidR="001C7AF7">
        <w:rPr>
          <w:rFonts w:eastAsia="Calibri"/>
          <w:bCs/>
          <w:color w:val="000000"/>
        </w:rPr>
        <w:t xml:space="preserve">zasadne </w:t>
      </w:r>
      <w:r w:rsidRPr="00BB322B">
        <w:rPr>
          <w:rFonts w:eastAsia="Calibri"/>
          <w:bCs/>
          <w:color w:val="000000"/>
        </w:rPr>
        <w:t>wydawanie postanowienia sądu w tym przedmiocie. Na marginesie należy podkreślić, że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przedstawione wyżej rozwiązania przyjęte w ustawie o Krajowym Rejestrze Sądowym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również nie zakładają możliwości odwołania od automatycznego wykreślenia z Krajowego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Rejestru Sądowego.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Odnosząc się do przedstawionej wątpliwości co do pozbawienia prawa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do odwołania się w przypadku omyłkowego działania sądu, należy wskazać na minimalne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ryzyko uznania za wykreślony zastawu, który nie wygasł z mocy prawa. Adnotacja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w systemie teleinformatycznym, o której mowa w projektowanym art. 41 ust. 2aa będzie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bowiem poprzedzona analizą akt rejestrowych w celu ustalenia czy nastąpiło przedłużenie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umowy zastawniczej. Analizy tej będą dokonywali orzecznicy (referendarze sądowi),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a zatem osoby profesjonalnie przygotowane do takiej oceny. Ponadto po dokonaniu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adnotacji w systemie teleinformatycznym, informacja o tym będzie przekazywana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do orzecznika, który będzie mógł ponownie zweryfikować prawidłowość jej dokonania.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Należy w tym miejscu ponownie wskazać, że zarządzenie o dokonaniu adnotacji nie jest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rozstrzygnięciem merytorycznym ani kończącym postępowanie. Nie jest również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dokonywane w samym rejestrze ale w systemie teleinformatycznym, w którym ten rejestr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 xml:space="preserve">jest prowadzony. Zatem </w:t>
      </w:r>
      <w:r w:rsidR="001C7AF7">
        <w:rPr>
          <w:rFonts w:eastAsia="Calibri"/>
          <w:bCs/>
          <w:color w:val="000000"/>
        </w:rPr>
        <w:t xml:space="preserve">- </w:t>
      </w:r>
      <w:r w:rsidRPr="00BB322B">
        <w:rPr>
          <w:rFonts w:eastAsia="Calibri"/>
          <w:bCs/>
          <w:color w:val="000000"/>
        </w:rPr>
        <w:t xml:space="preserve">ze względu na porządkujący charakter zarządzenia </w:t>
      </w:r>
      <w:r w:rsidR="001C7AF7">
        <w:rPr>
          <w:rFonts w:eastAsia="Calibri"/>
          <w:bCs/>
          <w:color w:val="000000"/>
        </w:rPr>
        <w:t xml:space="preserve">- </w:t>
      </w:r>
      <w:r w:rsidRPr="00BB322B">
        <w:rPr>
          <w:rFonts w:eastAsia="Calibri"/>
          <w:bCs/>
          <w:color w:val="000000"/>
        </w:rPr>
        <w:t>nie wydaje się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konieczne jego doręczanie czy informowanie o dokonanej adnotacji.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Podkreślić również należy, że dokonywana przez referendarzy sądowych analiza będzie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zmierzała jedynie do ustalenia czy w aktach znajduje się umowa o przedłużeniu zastawu.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Analiza nie będzie więc obejmowała zgodności znajdujących się w aktach sprawy umów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pod względem formy i treści. Sąd w postępowaniu w przedmiocie złożenia umowy do akt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rejestrowych obowiązany był bowiem dokonać stosownej oceny, która podlegała kontroli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instancyjnej.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Odnosząc się do kwestii dotyczącej uchylenia zarządzenia o dokonaniu adnotacji należy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ponownie wskazać, że adnotacja nie będzie dokonywana w rejestrze zastawów tylko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w systemie teleinformatycznym, w którym prowadzony jest ten rejestr. Tym samym nie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będzie to wpis (wykreślenie) zastawu, ale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właśnie czynność o charakterze technicznym. Nie można zapominać, że z punktu widzenia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praw i obowiązków zainteresowanych, istotny jest fakt wygaśnięcia zastawu z mocy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prawa, a nie - jak ma to miejsce w tego typu sprawach - deklaratywne wykreślenie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z rejestru zastawów. Obecnie mamy do czynienia z brakiem równowagi między skutkami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następującymi z mocy prawa a obowiązkami po stronie sądów rejestrowych.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Proponowane rozwiązanie - wobec uznania wygasłego zastawu za wykreślony z rejestru -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umożliwi zatem sprawną realizację obowiązku ustawodawcy zapewnienia dostępu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do danych odpowiadających stanowi prawnemu i pozytywnie wpłynie na pracę sądów</w:t>
      </w:r>
      <w:r w:rsidR="00563789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rejestrowych.</w:t>
      </w:r>
    </w:p>
    <w:p w14:paraId="16F00642" w14:textId="3A02C455" w:rsidR="00FD1D8E" w:rsidRDefault="009B7DF1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Nie jest możliwe również wykorzystanie adresów do doręczeń elektronicznych należy bowiem zauważyć, że zgodni</w:t>
      </w:r>
      <w:r w:rsidR="00E60780">
        <w:rPr>
          <w:rFonts w:eastAsia="Calibri"/>
          <w:bCs/>
          <w:color w:val="000000"/>
        </w:rPr>
        <w:t xml:space="preserve">e </w:t>
      </w:r>
      <w:r w:rsidRPr="00BB322B">
        <w:rPr>
          <w:rFonts w:eastAsia="Calibri"/>
          <w:bCs/>
          <w:color w:val="000000"/>
        </w:rPr>
        <w:t>z  art. 11 pkt 2 ustaw</w:t>
      </w:r>
      <w:r w:rsidR="00E60780">
        <w:rPr>
          <w:rFonts w:eastAsia="Calibri"/>
          <w:bCs/>
          <w:color w:val="000000"/>
        </w:rPr>
        <w:t>y</w:t>
      </w:r>
      <w:r w:rsidRPr="00BB322B">
        <w:rPr>
          <w:rFonts w:eastAsia="Calibri"/>
          <w:bCs/>
          <w:color w:val="000000"/>
        </w:rPr>
        <w:t xml:space="preserve"> o doręczeniach elektronicznych </w:t>
      </w:r>
      <w:r w:rsidR="001C7AF7">
        <w:rPr>
          <w:rFonts w:eastAsia="Calibri"/>
          <w:bCs/>
          <w:color w:val="000000"/>
        </w:rPr>
        <w:t>u</w:t>
      </w:r>
      <w:r w:rsidRPr="00BB322B">
        <w:rPr>
          <w:rFonts w:eastAsia="Calibri"/>
          <w:bCs/>
          <w:color w:val="000000"/>
        </w:rPr>
        <w:t>tworzenie adresu do doręczeń elektronicznych automatycznie jest możl</w:t>
      </w:r>
      <w:r w:rsidR="00745F67">
        <w:rPr>
          <w:rFonts w:eastAsia="Calibri"/>
          <w:bCs/>
          <w:color w:val="000000"/>
        </w:rPr>
        <w:t>i</w:t>
      </w:r>
      <w:r w:rsidRPr="00BB322B">
        <w:rPr>
          <w:rFonts w:eastAsia="Calibri"/>
          <w:bCs/>
          <w:color w:val="000000"/>
        </w:rPr>
        <w:t xml:space="preserve">wie tylko w sytuacji wskazania danych przekazanych za pośrednictwem systemu teleinformatycznego ministrowi właściwemu ds. </w:t>
      </w:r>
      <w:r w:rsidRPr="00BB322B">
        <w:rPr>
          <w:rFonts w:eastAsia="Calibri"/>
          <w:bCs/>
          <w:color w:val="000000"/>
        </w:rPr>
        <w:lastRenderedPageBreak/>
        <w:t>cyfryzacji</w:t>
      </w:r>
      <w:r w:rsidR="001C7AF7">
        <w:rPr>
          <w:rFonts w:eastAsia="Calibri"/>
          <w:bCs/>
          <w:color w:val="000000"/>
        </w:rPr>
        <w:t xml:space="preserve">. </w:t>
      </w:r>
      <w:r w:rsidRPr="00BB322B">
        <w:rPr>
          <w:rFonts w:eastAsia="Calibri"/>
          <w:bCs/>
          <w:color w:val="000000"/>
        </w:rPr>
        <w:t xml:space="preserve">Dane te muszą być wskazane we wniosku o wpis do Krajowego Rejestru Sądowego albo do Centralnej Ewidencji i Informacji o Działalności Gospodarczej. </w:t>
      </w:r>
      <w:r w:rsidR="001C7AF7">
        <w:rPr>
          <w:rFonts w:eastAsia="Calibri"/>
          <w:bCs/>
          <w:color w:val="000000"/>
        </w:rPr>
        <w:t xml:space="preserve">Rozszerzenie ww. przepisu o rejestr zastawów nie rozwiąże </w:t>
      </w:r>
      <w:r w:rsidRPr="00BB322B">
        <w:rPr>
          <w:rFonts w:eastAsia="Calibri"/>
          <w:bCs/>
          <w:color w:val="000000"/>
        </w:rPr>
        <w:t>problemu z wykreślaniem zastawów wygasły z mocy prawa. Nie</w:t>
      </w:r>
      <w:r w:rsidR="001C7AF7">
        <w:rPr>
          <w:rFonts w:eastAsia="Calibri"/>
          <w:bCs/>
          <w:color w:val="000000"/>
        </w:rPr>
        <w:t xml:space="preserve"> będzie bowiem </w:t>
      </w:r>
      <w:r w:rsidR="00F15FA0">
        <w:rPr>
          <w:rFonts w:eastAsia="Calibri"/>
          <w:bCs/>
          <w:color w:val="000000"/>
        </w:rPr>
        <w:t>możliwości</w:t>
      </w:r>
      <w:r w:rsidRPr="00BB322B">
        <w:rPr>
          <w:rFonts w:eastAsia="Calibri"/>
          <w:bCs/>
          <w:color w:val="000000"/>
        </w:rPr>
        <w:t xml:space="preserve"> podania danych niezbędnych do założenia </w:t>
      </w:r>
      <w:r w:rsidR="005E1FD6" w:rsidRPr="00BB322B">
        <w:rPr>
          <w:rFonts w:eastAsia="Calibri"/>
          <w:bCs/>
          <w:color w:val="000000"/>
        </w:rPr>
        <w:t xml:space="preserve">takiego </w:t>
      </w:r>
      <w:r w:rsidRPr="00BB322B">
        <w:rPr>
          <w:rFonts w:eastAsia="Calibri"/>
          <w:bCs/>
          <w:color w:val="000000"/>
        </w:rPr>
        <w:t>adresu</w:t>
      </w:r>
      <w:r w:rsidR="005E1FD6" w:rsidRPr="00BB322B">
        <w:rPr>
          <w:rFonts w:eastAsia="Calibri"/>
          <w:bCs/>
          <w:color w:val="000000"/>
        </w:rPr>
        <w:t>.</w:t>
      </w:r>
    </w:p>
    <w:p w14:paraId="7F2DBBD4" w14:textId="117B3352" w:rsidR="003026B0" w:rsidRPr="00BB322B" w:rsidRDefault="000B398F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 xml:space="preserve">Ad.2) </w:t>
      </w:r>
      <w:r w:rsidR="0077285F" w:rsidRPr="00BB322B">
        <w:rPr>
          <w:rFonts w:eastAsia="Calibri"/>
          <w:bCs/>
          <w:color w:val="000000"/>
        </w:rPr>
        <w:t>Sąd Apelacyjny w Rzeszowie przesłał uwagi zgłoszone przez Przewodniczącą IX Wydziału Gospodarczego Rejestru Zastawów Sądu Rejonowego w Rzeszowie. Przewodnicząca negatywnie</w:t>
      </w:r>
      <w:r w:rsidR="00636BBE" w:rsidRPr="00BB322B">
        <w:rPr>
          <w:rFonts w:eastAsia="Calibri"/>
          <w:bCs/>
          <w:color w:val="000000"/>
        </w:rPr>
        <w:t xml:space="preserve"> zaopiniowała przedstawiony projekt w związku z planowanym odejściem od przeprowadzania postepowania o wykreślenie wygasłego z mocy prawa zastawu i wprowadzeniem adnotacji w systemie teleinformatycznym. W </w:t>
      </w:r>
      <w:r w:rsidR="00A223C4" w:rsidRPr="00BB322B">
        <w:rPr>
          <w:rFonts w:eastAsia="Calibri"/>
          <w:bCs/>
          <w:color w:val="000000"/>
        </w:rPr>
        <w:t>piśmie</w:t>
      </w:r>
      <w:r w:rsidR="00636BBE" w:rsidRPr="00BB322B">
        <w:rPr>
          <w:rFonts w:eastAsia="Calibri"/>
          <w:bCs/>
          <w:color w:val="000000"/>
        </w:rPr>
        <w:t xml:space="preserve"> przedstawiono m.in. propozycje rozważenia zmian </w:t>
      </w:r>
      <w:r w:rsidR="00427966" w:rsidRPr="00BB322B">
        <w:rPr>
          <w:rFonts w:eastAsia="Calibri"/>
          <w:bCs/>
          <w:color w:val="000000"/>
        </w:rPr>
        <w:t>zmierzających do uproszczenia sposobu doręczania korespondencji</w:t>
      </w:r>
      <w:r w:rsidR="003026B0" w:rsidRPr="00BB322B">
        <w:rPr>
          <w:rFonts w:eastAsia="Calibri"/>
          <w:bCs/>
          <w:color w:val="000000"/>
        </w:rPr>
        <w:t xml:space="preserve"> np.: poprzez zamieszczanie treści orzeczeń na tablicy informacyjnej s</w:t>
      </w:r>
      <w:r w:rsidR="00F15FA0">
        <w:rPr>
          <w:rFonts w:eastAsia="Calibri"/>
          <w:bCs/>
          <w:color w:val="000000"/>
        </w:rPr>
        <w:t>ą</w:t>
      </w:r>
      <w:r w:rsidR="003026B0" w:rsidRPr="00BB322B">
        <w:rPr>
          <w:rFonts w:eastAsia="Calibri"/>
          <w:bCs/>
          <w:color w:val="000000"/>
        </w:rPr>
        <w:t>du czy złożenie korespondencji do akt ze skutkiem doręczenia. Jednocześnie wskazano na problemy z doręczeniem korespondencji w przypadku śmierci strony i przedstawiono propozycję wprowadzenia do usta</w:t>
      </w:r>
      <w:r w:rsidR="00A223C4" w:rsidRPr="00BB322B">
        <w:rPr>
          <w:rFonts w:eastAsia="Calibri"/>
          <w:bCs/>
          <w:color w:val="000000"/>
        </w:rPr>
        <w:t>w</w:t>
      </w:r>
      <w:r w:rsidR="003026B0" w:rsidRPr="00BB322B">
        <w:rPr>
          <w:rFonts w:eastAsia="Calibri"/>
          <w:bCs/>
          <w:color w:val="000000"/>
        </w:rPr>
        <w:t xml:space="preserve">y przepisu, który dopuszczałby prowadzenie </w:t>
      </w:r>
      <w:r w:rsidR="00A223C4" w:rsidRPr="00BB322B">
        <w:rPr>
          <w:rFonts w:eastAsia="Calibri"/>
          <w:bCs/>
          <w:color w:val="000000"/>
        </w:rPr>
        <w:t>postępowania</w:t>
      </w:r>
      <w:r w:rsidR="003026B0" w:rsidRPr="00BB322B">
        <w:rPr>
          <w:rFonts w:eastAsia="Calibri"/>
          <w:bCs/>
          <w:color w:val="000000"/>
        </w:rPr>
        <w:t xml:space="preserve"> o wykreślenie zastawu z pominięciem takiej strony, jeżeli jej spadkobiercy nie wpisali się do rejestru zastawów.</w:t>
      </w:r>
    </w:p>
    <w:p w14:paraId="4931CC3F" w14:textId="4152B799" w:rsidR="005E1FD6" w:rsidRPr="00BB322B" w:rsidRDefault="005E1FD6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Powyższa propozycja nie mogła zostać uwzględniona</w:t>
      </w:r>
      <w:r w:rsidR="00F15FA0">
        <w:rPr>
          <w:rFonts w:eastAsia="Calibri"/>
          <w:bCs/>
          <w:color w:val="000000"/>
        </w:rPr>
        <w:t>.</w:t>
      </w:r>
      <w:r w:rsidRPr="00BB322B">
        <w:rPr>
          <w:rFonts w:eastAsia="Calibri"/>
          <w:bCs/>
          <w:color w:val="000000"/>
        </w:rPr>
        <w:t xml:space="preserve"> Należy wskazać, ze w świetle </w:t>
      </w:r>
      <w:r w:rsidR="00FD1D8E" w:rsidRPr="00BB322B">
        <w:rPr>
          <w:rFonts w:eastAsia="Calibri"/>
          <w:bCs/>
          <w:color w:val="000000"/>
        </w:rPr>
        <w:t>obowiązujących</w:t>
      </w:r>
      <w:r w:rsidRPr="00BB322B">
        <w:rPr>
          <w:rFonts w:eastAsia="Calibri"/>
          <w:bCs/>
          <w:color w:val="000000"/>
        </w:rPr>
        <w:t xml:space="preserve"> przepisów wykreślenie z </w:t>
      </w:r>
      <w:r w:rsidR="00FD1D8E" w:rsidRPr="00BB322B">
        <w:rPr>
          <w:rFonts w:eastAsia="Calibri"/>
          <w:bCs/>
          <w:color w:val="000000"/>
        </w:rPr>
        <w:t>urzędu</w:t>
      </w:r>
      <w:r w:rsidRPr="00BB322B">
        <w:rPr>
          <w:rFonts w:eastAsia="Calibri"/>
          <w:bCs/>
          <w:color w:val="000000"/>
        </w:rPr>
        <w:t xml:space="preserve"> rejestru zastawów następuje w drodze postanowienia sądu, które podlega doręczeniu i musi się </w:t>
      </w:r>
      <w:r w:rsidR="00FD1D8E" w:rsidRPr="00BB322B">
        <w:rPr>
          <w:rFonts w:eastAsia="Calibri"/>
          <w:bCs/>
          <w:color w:val="000000"/>
        </w:rPr>
        <w:t>uprawomocnić</w:t>
      </w:r>
      <w:r w:rsidRPr="00BB322B">
        <w:rPr>
          <w:rFonts w:eastAsia="Calibri"/>
          <w:bCs/>
          <w:color w:val="000000"/>
        </w:rPr>
        <w:t xml:space="preserve">. </w:t>
      </w:r>
      <w:r w:rsidR="00FD1D8E" w:rsidRPr="00BB322B">
        <w:rPr>
          <w:rFonts w:eastAsia="Calibri"/>
          <w:bCs/>
          <w:color w:val="000000"/>
        </w:rPr>
        <w:t>Zaprojektowanie</w:t>
      </w:r>
      <w:r w:rsidRPr="00BB322B">
        <w:rPr>
          <w:rFonts w:eastAsia="Calibri"/>
          <w:bCs/>
          <w:color w:val="000000"/>
        </w:rPr>
        <w:t xml:space="preserve"> przepisu, który przewidywałby odejście od ww. obowiązku naraża na stwierdzenie jego niekonstytucyjności. </w:t>
      </w:r>
      <w:r w:rsidR="00BE03D7" w:rsidRPr="00BB322B">
        <w:rPr>
          <w:rFonts w:eastAsia="Calibri"/>
          <w:bCs/>
          <w:color w:val="000000"/>
        </w:rPr>
        <w:t>Taki przepis obarczony byłby bowiem ryzykiem uznania za niezgodny z Konstytucją Rzeczypospolitej Polskiej, zwłaszcza w kontekście wyroku Trybunału Konstytucyjnego z dnia 26 listopada 2019 r. sygn. akt P 9/18 (Dz.U.2019.2355). W wyroku tym Trybunał Konstytucyjny stwierdził, że: „art. 49 ustawy z dnia 28 stycznia 2018 r. (Dz. U. z 2018 r. poz. 389 ze zm. ) w zakresie, w jakim w sprawach dotyczących wpisów, o których mowa w art. 55 pkt 4 i 5 ustawy z dnia 20 sierpnia 1997 r. o Krajowym Rejestrze Sądowym (Dz.U.2019.1500), wyłącza obowiązek doręczenia przez sąd uczestnikowi postępowania rejestrowego postanowienia o wpisie do rejestru dłużników niewypłacalnych wraz z uzasadnieniem, a także pozbawia uczestnika tego postępowania prawa do wniesienia skargi na postanowienie referendarza sądowego zarządzające wpis do takiego rejestru jest niezgodny z art. 45 ust. 1 w związku z art. 31 ust. 3 Konstytucji Rzeczypospolitej Polskiej.</w:t>
      </w:r>
    </w:p>
    <w:p w14:paraId="655BDF02" w14:textId="64522A42" w:rsidR="003026B0" w:rsidRPr="00BB322B" w:rsidRDefault="003026B0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 xml:space="preserve">Ad. 3) </w:t>
      </w:r>
      <w:r w:rsidR="002F24AD" w:rsidRPr="00BB322B">
        <w:rPr>
          <w:rFonts w:eastAsia="Calibri"/>
          <w:bCs/>
          <w:color w:val="000000"/>
        </w:rPr>
        <w:t>Sąd Apelacyjny w Krakowie nie zgłaszał uwag merytorycznych do projektu ustawy a jedynie wskazał na konieczność usprawnienia techniczno-informatycznego Systemu Wpisów tak, aby planowaną operację przeprowadzić</w:t>
      </w:r>
      <w:r w:rsidR="00BE03D7" w:rsidRPr="00BB322B">
        <w:rPr>
          <w:rFonts w:eastAsia="Calibri"/>
          <w:bCs/>
          <w:color w:val="000000"/>
        </w:rPr>
        <w:t xml:space="preserve"> </w:t>
      </w:r>
      <w:r w:rsidR="002F24AD" w:rsidRPr="00BB322B">
        <w:rPr>
          <w:rFonts w:eastAsia="Calibri"/>
          <w:bCs/>
          <w:color w:val="000000"/>
        </w:rPr>
        <w:t>sprawnie i skutecznie.</w:t>
      </w:r>
    </w:p>
    <w:p w14:paraId="139D3523" w14:textId="6D063E2B" w:rsidR="002F24AD" w:rsidRPr="00BB322B" w:rsidRDefault="002F24AD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Ad. 4) Sąd Apelacyjny we Wrocławiu zgłosił zastrzeżenia do art.  4 projektu ustawy i wskazał, że wyznaczenie pięcioletniego terminu może być niewystarczające do realizacji projektowanych rozwiązań, mając na uwadze obsadę sądów rejestrowych i realizację bieżącego</w:t>
      </w:r>
      <w:r w:rsidR="00B35C85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wpływu w rejestrze. Zaproponowana regulacja zakłada wprowadzenie obowiązku przejrzenia</w:t>
      </w:r>
      <w:r w:rsidR="00BE03D7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przez orzeczników wszystkich akt rejestrowych dotyczących rejestru zastawów,</w:t>
      </w:r>
      <w:r w:rsidR="00BE03D7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w których upływ czasu spowodował wygaśnięcie zastawu rejestrowego ex lege.</w:t>
      </w:r>
    </w:p>
    <w:p w14:paraId="2AAB2E65" w14:textId="67B266AE" w:rsidR="00911A1C" w:rsidRPr="00BB322B" w:rsidRDefault="00BE03D7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lastRenderedPageBreak/>
        <w:t>U</w:t>
      </w:r>
      <w:r w:rsidR="00911A1C" w:rsidRPr="00BB322B">
        <w:rPr>
          <w:rFonts w:eastAsia="Calibri"/>
          <w:bCs/>
          <w:color w:val="000000"/>
        </w:rPr>
        <w:t>wagi zgłosił</w:t>
      </w:r>
      <w:r w:rsidRPr="00BB322B">
        <w:rPr>
          <w:rFonts w:eastAsia="Calibri"/>
          <w:bCs/>
          <w:color w:val="000000"/>
        </w:rPr>
        <w:t xml:space="preserve"> również</w:t>
      </w:r>
      <w:r w:rsidR="00911A1C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Ośrodek</w:t>
      </w:r>
      <w:r w:rsidR="00911A1C" w:rsidRPr="00BB322B">
        <w:rPr>
          <w:rFonts w:eastAsia="Calibri"/>
          <w:bCs/>
          <w:color w:val="000000"/>
        </w:rPr>
        <w:t xml:space="preserve"> Informatyczny </w:t>
      </w:r>
      <w:r w:rsidRPr="00BB322B">
        <w:rPr>
          <w:rFonts w:eastAsia="Calibri"/>
          <w:bCs/>
          <w:color w:val="000000"/>
        </w:rPr>
        <w:t>we Wrocławiu</w:t>
      </w:r>
    </w:p>
    <w:p w14:paraId="26D75722" w14:textId="77777777" w:rsidR="00FD1D8E" w:rsidRDefault="00911A1C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W ocenie opiniującego takie</w:t>
      </w:r>
      <w:r w:rsidR="00BE03D7" w:rsidRPr="00BB322B">
        <w:rPr>
          <w:rFonts w:eastAsia="Calibri"/>
          <w:bCs/>
          <w:color w:val="000000"/>
        </w:rPr>
        <w:t xml:space="preserve"> rozwiązanie:</w:t>
      </w:r>
      <w:r w:rsidRPr="00BB322B">
        <w:rPr>
          <w:rFonts w:eastAsia="Calibri"/>
          <w:bCs/>
          <w:color w:val="000000"/>
        </w:rPr>
        <w:t xml:space="preserve"> </w:t>
      </w:r>
      <w:r w:rsidR="00BE03D7" w:rsidRPr="00BB322B">
        <w:rPr>
          <w:rFonts w:eastAsia="Calibri"/>
          <w:bCs/>
          <w:color w:val="000000"/>
        </w:rPr>
        <w:t>„</w:t>
      </w:r>
      <w:r w:rsidR="00272C54" w:rsidRPr="00BB322B">
        <w:rPr>
          <w:rFonts w:eastAsia="Calibri"/>
          <w:bCs/>
          <w:color w:val="000000"/>
        </w:rPr>
        <w:t xml:space="preserve">1. </w:t>
      </w:r>
      <w:r w:rsidRPr="00BB322B">
        <w:rPr>
          <w:rFonts w:eastAsia="Calibri"/>
          <w:bCs/>
          <w:color w:val="000000"/>
        </w:rPr>
        <w:t>może mieć dalekie konsekwencje na tle stosowania całej ustawy m.in. art. 36 –właściwości sądów do prowadzenia rejestru, a nie systemu teleinformatycznego do prowadzenia rejestru, art. 37 – zasady jawności rejestru, która odnosi się do rejestru a nie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do systemu teleinformatycznego, w którym rejestr jest prowadzony. Takie sformułowanie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sugeruje, że adnotacja będzie dokonywana jedynie w sposób wewnętrzny, nie widoczny dla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zewnętrznych użytkowników. Zasadne jest zatem sformułowanie, iż adnotacja będzie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dokonywana w rejestrze. Spowoduje to również zmniejszenie ilości koniecznych zmian.</w:t>
      </w:r>
    </w:p>
    <w:p w14:paraId="1E6C04E4" w14:textId="44F930F1" w:rsidR="00911A1C" w:rsidRPr="00BB322B" w:rsidRDefault="00911A1C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Bezprzedmiotowa stanie się bowiem zmiana brzmienia art. 42 ust. 2 ustawy o zastawie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rejestrowym i rejestrze zastawów.</w:t>
      </w:r>
    </w:p>
    <w:p w14:paraId="42E39042" w14:textId="404DD360" w:rsidR="00911A1C" w:rsidRPr="00BB322B" w:rsidRDefault="00911A1C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2. Projektowana zmiana ustawy o zastawie rejestrowym i rejestrze zastawów spowoduje,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że w rejestrze zastawów będą widniały wpisy zastawów rejestrowych wygasłych oraz uznanych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za wykreślone bez dalszej procedury ich wykreślenia. Projektowany przepis art. 41 ust. 2ab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ustawy o zastawie rejestrowym i rejestrze zastawów w zakresie odrzucenia wniosku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o wykreślenie zastawu rejestrowego z rejestru zastawów złożonego po wydaniu zarządzenia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o zamieszczeniu adnotacji, powoduje, że nawet same strony umowy nie będą miały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kompetencji do jego wykreślenia. Pozostawienie możliwości złożenia wniosku o wykreślenie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zastawu rejestrowego wpłynęłoby pozytywnie na aktualność wpisów zamieszczonych</w:t>
      </w:r>
      <w:r w:rsidR="003103F2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>w Rejestrze.”</w:t>
      </w:r>
    </w:p>
    <w:p w14:paraId="5CF95F1C" w14:textId="50C4D7BC" w:rsidR="003103F2" w:rsidRPr="00BB322B" w:rsidRDefault="003103F2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>Odnośnie uwagi do art. 4 projektowanej ustawy należy wskazać, że była ona poprzedzona analizą statystyk MS-S20z. I tak wpływ wszystkich spraw do sądów rejestrowych prowadzących rejestr zastawów w 2021 r. wy</w:t>
      </w:r>
      <w:r w:rsidR="00E34C2F" w:rsidRPr="00BB322B">
        <w:rPr>
          <w:rFonts w:eastAsia="Calibri"/>
          <w:bCs/>
          <w:color w:val="000000"/>
        </w:rPr>
        <w:t>n</w:t>
      </w:r>
      <w:r w:rsidRPr="00BB322B">
        <w:rPr>
          <w:rFonts w:eastAsia="Calibri"/>
          <w:bCs/>
          <w:color w:val="000000"/>
        </w:rPr>
        <w:t>osił 87 732 sprawy,  w</w:t>
      </w:r>
      <w:r w:rsidR="00E34C2F" w:rsidRPr="00BB322B">
        <w:rPr>
          <w:rFonts w:eastAsia="Calibri"/>
          <w:bCs/>
          <w:color w:val="000000"/>
        </w:rPr>
        <w:t xml:space="preserve"> </w:t>
      </w:r>
      <w:r w:rsidRPr="00BB322B">
        <w:rPr>
          <w:rFonts w:eastAsia="Calibri"/>
          <w:bCs/>
          <w:color w:val="000000"/>
        </w:rPr>
        <w:t xml:space="preserve">tym spraw o pierwszy wpis </w:t>
      </w:r>
      <w:r w:rsidR="00E34C2F" w:rsidRPr="00BB322B">
        <w:rPr>
          <w:rFonts w:eastAsia="Calibri"/>
          <w:bCs/>
          <w:color w:val="000000"/>
        </w:rPr>
        <w:t>b</w:t>
      </w:r>
      <w:r w:rsidRPr="00BB322B">
        <w:rPr>
          <w:rFonts w:eastAsia="Calibri"/>
          <w:bCs/>
          <w:color w:val="000000"/>
        </w:rPr>
        <w:t xml:space="preserve">yło </w:t>
      </w:r>
      <w:r w:rsidR="00E34C2F" w:rsidRPr="00BB322B">
        <w:rPr>
          <w:rFonts w:eastAsia="Calibri"/>
          <w:bCs/>
          <w:color w:val="000000"/>
        </w:rPr>
        <w:t>41 517.</w:t>
      </w:r>
      <w:r w:rsidRPr="00BB322B">
        <w:rPr>
          <w:rFonts w:eastAsia="Calibri"/>
          <w:bCs/>
          <w:color w:val="000000"/>
        </w:rPr>
        <w:t xml:space="preserve"> </w:t>
      </w:r>
      <w:r w:rsidR="00E34C2F" w:rsidRPr="00BB322B">
        <w:rPr>
          <w:rFonts w:eastAsia="Calibri"/>
          <w:bCs/>
          <w:color w:val="000000"/>
        </w:rPr>
        <w:t xml:space="preserve">W tym roku </w:t>
      </w:r>
      <w:r w:rsidRPr="00BB322B">
        <w:rPr>
          <w:rFonts w:eastAsia="Calibri"/>
          <w:bCs/>
          <w:color w:val="000000"/>
        </w:rPr>
        <w:t>załatwi</w:t>
      </w:r>
      <w:r w:rsidR="00E34C2F" w:rsidRPr="00BB322B">
        <w:rPr>
          <w:rFonts w:eastAsia="Calibri"/>
          <w:bCs/>
          <w:color w:val="000000"/>
        </w:rPr>
        <w:t>o</w:t>
      </w:r>
      <w:r w:rsidRPr="00BB322B">
        <w:rPr>
          <w:rFonts w:eastAsia="Calibri"/>
          <w:bCs/>
          <w:color w:val="000000"/>
        </w:rPr>
        <w:t>n</w:t>
      </w:r>
      <w:r w:rsidR="00E34C2F" w:rsidRPr="00BB322B">
        <w:rPr>
          <w:rFonts w:eastAsia="Calibri"/>
          <w:bCs/>
          <w:color w:val="000000"/>
        </w:rPr>
        <w:t>o 88 269 spraw.</w:t>
      </w:r>
      <w:r w:rsidRPr="00BB322B">
        <w:rPr>
          <w:rFonts w:eastAsia="Calibri"/>
          <w:bCs/>
          <w:color w:val="000000"/>
        </w:rPr>
        <w:t xml:space="preserve"> </w:t>
      </w:r>
      <w:r w:rsidR="00E34C2F" w:rsidRPr="00BB322B">
        <w:rPr>
          <w:rFonts w:eastAsia="Calibri"/>
          <w:bCs/>
          <w:color w:val="000000"/>
        </w:rPr>
        <w:t xml:space="preserve">W roku 2022  było to odpowiednio: 88 980 spraw, 40 529 spraw, 89 279 spraw. W roku 2023 – 84 944 sprawy, 36 361 spraw, 84 407 spraw. Analiza danych statystycznych wskazuje zatem na tendencję spadkową wpływu spraw do sądów rejestrowych, w szczególności spraw o pierwszy wpis do rejestru. Biorąc pod uwagę, że w </w:t>
      </w:r>
      <w:r w:rsidR="00134A87" w:rsidRPr="00BB322B">
        <w:rPr>
          <w:rFonts w:eastAsia="Calibri"/>
          <w:bCs/>
          <w:color w:val="000000"/>
        </w:rPr>
        <w:t xml:space="preserve">sądach rejestrowych prowadzących rejestr zastawów brak jest akt rejestrowych wielotomowych, a projektowane rozwiązania nie cechują się skomplikowanym charakterem </w:t>
      </w:r>
      <w:r w:rsidR="00F15FA0">
        <w:rPr>
          <w:rFonts w:eastAsia="Calibri"/>
          <w:bCs/>
          <w:color w:val="000000"/>
        </w:rPr>
        <w:t>oraz</w:t>
      </w:r>
      <w:r w:rsidR="00134A87" w:rsidRPr="00BB322B">
        <w:rPr>
          <w:rFonts w:eastAsia="Calibri"/>
          <w:bCs/>
          <w:color w:val="000000"/>
        </w:rPr>
        <w:t xml:space="preserve"> uwzględniając zmniejszający się wpływ w sądach, wydaje się, że projektowany pięcioletni termin jest w takim przypadku </w:t>
      </w:r>
      <w:r w:rsidR="00D24EB6" w:rsidRPr="00BB322B">
        <w:rPr>
          <w:rFonts w:eastAsia="Calibri"/>
          <w:bCs/>
          <w:color w:val="000000"/>
        </w:rPr>
        <w:t>terminem optymalnym.</w:t>
      </w:r>
    </w:p>
    <w:p w14:paraId="2CC48FFF" w14:textId="2AF2FC41" w:rsidR="00272C54" w:rsidRPr="00BB322B" w:rsidRDefault="00272C54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 xml:space="preserve">Odnośnie uwag zgłoszonych przez Oddział Informatyczny należy wskazać, że </w:t>
      </w:r>
      <w:r w:rsidR="007D02A5" w:rsidRPr="00BB322B">
        <w:rPr>
          <w:rFonts w:eastAsia="Calibri"/>
          <w:bCs/>
          <w:color w:val="000000"/>
        </w:rPr>
        <w:t>nie jest możliwe uwzględnienie przedstawionych uwag. Nie jest jasne co zgłaszający miał na myśli mówiąc o użytkowniku zewnętrznym. Jeżeli miałaby być to osoba, która chce uzyskać informację z rejestru zastawów, to należy wskazać, że informacje takie udzielane są przez centraln</w:t>
      </w:r>
      <w:r w:rsidR="00532327" w:rsidRPr="00BB322B">
        <w:rPr>
          <w:rFonts w:eastAsia="Calibri"/>
          <w:bCs/>
          <w:color w:val="000000"/>
        </w:rPr>
        <w:t>ą</w:t>
      </w:r>
      <w:r w:rsidR="007D02A5" w:rsidRPr="00BB322B">
        <w:rPr>
          <w:rFonts w:eastAsia="Calibri"/>
          <w:bCs/>
          <w:color w:val="000000"/>
        </w:rPr>
        <w:t xml:space="preserve"> informację o zastawach rejestrowych na wniosek. Jeżeli pod pojęciem użytkownika zewnętrznego należy rozumieć </w:t>
      </w:r>
      <w:r w:rsidR="00C0783A" w:rsidRPr="00BB322B">
        <w:rPr>
          <w:rFonts w:eastAsia="Calibri"/>
          <w:bCs/>
          <w:color w:val="000000"/>
        </w:rPr>
        <w:t>centraln</w:t>
      </w:r>
      <w:r w:rsidR="00F15FA0">
        <w:rPr>
          <w:rFonts w:eastAsia="Calibri"/>
          <w:bCs/>
          <w:color w:val="000000"/>
        </w:rPr>
        <w:t>ą</w:t>
      </w:r>
      <w:r w:rsidR="00C0783A" w:rsidRPr="00BB322B">
        <w:rPr>
          <w:rFonts w:eastAsia="Calibri"/>
          <w:bCs/>
          <w:color w:val="000000"/>
        </w:rPr>
        <w:t xml:space="preserve"> informację, to przewiduje się również zmianę rozporządzenia w sprawie ustroju i organizacji centralnej informacji o zastawach rejestrowych oraz szczegółowych zasad udzielania informacji, wydawania odpisów i zaświadczeń, zgodnie z którą centralna informacja będzie przy udzielaniu informacji z rejestru zastawów będzie musiała zweryfikować czy dla określonej pozycji rejestru zastawów widnieje wzmianka w </w:t>
      </w:r>
      <w:r w:rsidR="00C0783A" w:rsidRPr="00BB322B">
        <w:rPr>
          <w:rFonts w:eastAsia="Calibri"/>
          <w:bCs/>
          <w:color w:val="000000"/>
        </w:rPr>
        <w:lastRenderedPageBreak/>
        <w:t>systemie teleinformatycznym informując</w:t>
      </w:r>
      <w:r w:rsidR="00F15FA0">
        <w:rPr>
          <w:rFonts w:eastAsia="Calibri"/>
          <w:bCs/>
          <w:color w:val="000000"/>
        </w:rPr>
        <w:t>a</w:t>
      </w:r>
      <w:r w:rsidR="00C0783A" w:rsidRPr="00BB322B">
        <w:rPr>
          <w:rFonts w:eastAsia="Calibri"/>
          <w:bCs/>
          <w:color w:val="000000"/>
        </w:rPr>
        <w:t>, że zastaw wygasły z mocy prawa uznaje się za wykreślony z rejestru.</w:t>
      </w:r>
    </w:p>
    <w:p w14:paraId="6EEC5CF9" w14:textId="3089A5D3" w:rsidR="00856C59" w:rsidRPr="00BB322B" w:rsidRDefault="00856C59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 xml:space="preserve">Z uwagi na to, że </w:t>
      </w:r>
      <w:r w:rsidR="00F15FA0">
        <w:rPr>
          <w:rFonts w:eastAsia="Calibri"/>
          <w:bCs/>
          <w:color w:val="000000"/>
        </w:rPr>
        <w:t>wpisy</w:t>
      </w:r>
      <w:r w:rsidRPr="00BB322B">
        <w:rPr>
          <w:rFonts w:eastAsia="Calibri"/>
          <w:bCs/>
          <w:color w:val="000000"/>
        </w:rPr>
        <w:t xml:space="preserve"> w rejestrze zastawów </w:t>
      </w:r>
      <w:r w:rsidR="008C5028" w:rsidRPr="00BB322B">
        <w:rPr>
          <w:rFonts w:eastAsia="Calibri"/>
          <w:bCs/>
          <w:color w:val="000000"/>
        </w:rPr>
        <w:t>dokonywane są na podstawie postanowienia zaskarżalnego sądu, nie jest możliwe umieszcz</w:t>
      </w:r>
      <w:r w:rsidR="00F15FA0">
        <w:rPr>
          <w:rFonts w:eastAsia="Calibri"/>
          <w:bCs/>
          <w:color w:val="000000"/>
        </w:rPr>
        <w:t>e</w:t>
      </w:r>
      <w:r w:rsidR="008C5028" w:rsidRPr="00BB322B">
        <w:rPr>
          <w:rFonts w:eastAsia="Calibri"/>
          <w:bCs/>
          <w:color w:val="000000"/>
        </w:rPr>
        <w:t xml:space="preserve">nie w </w:t>
      </w:r>
      <w:r w:rsidR="00F15FA0">
        <w:rPr>
          <w:rFonts w:eastAsia="Calibri"/>
          <w:bCs/>
          <w:color w:val="000000"/>
        </w:rPr>
        <w:t>tym rejestrze</w:t>
      </w:r>
      <w:r w:rsidR="008C5028" w:rsidRPr="00BB322B">
        <w:rPr>
          <w:rFonts w:eastAsia="Calibri"/>
          <w:bCs/>
          <w:color w:val="000000"/>
        </w:rPr>
        <w:t xml:space="preserve"> adnotacji o uznaniu za wykreślony zastawu wygasłego ex lege.  </w:t>
      </w:r>
    </w:p>
    <w:p w14:paraId="104DF99E" w14:textId="7B83C941" w:rsidR="00172DF9" w:rsidRPr="00BB322B" w:rsidRDefault="00172DF9" w:rsidP="00E30143">
      <w:pPr>
        <w:jc w:val="both"/>
        <w:rPr>
          <w:rFonts w:eastAsia="Calibri"/>
          <w:bCs/>
          <w:color w:val="000000"/>
        </w:rPr>
      </w:pPr>
      <w:r w:rsidRPr="00BB322B">
        <w:rPr>
          <w:rFonts w:eastAsia="Calibri"/>
          <w:bCs/>
          <w:color w:val="000000"/>
        </w:rPr>
        <w:t xml:space="preserve">Ad. 5) </w:t>
      </w:r>
      <w:r w:rsidR="00FD1D8E">
        <w:rPr>
          <w:rFonts w:eastAsia="Calibri"/>
          <w:bCs/>
          <w:color w:val="000000"/>
        </w:rPr>
        <w:t>W o</w:t>
      </w:r>
      <w:r w:rsidRPr="00BB322B">
        <w:rPr>
          <w:rFonts w:eastAsia="Calibri"/>
          <w:bCs/>
          <w:color w:val="000000"/>
        </w:rPr>
        <w:t>pini</w:t>
      </w:r>
      <w:r w:rsidR="00FD1D8E">
        <w:rPr>
          <w:rFonts w:eastAsia="Calibri"/>
          <w:bCs/>
          <w:color w:val="000000"/>
        </w:rPr>
        <w:t>i</w:t>
      </w:r>
      <w:r w:rsidRPr="00BB322B">
        <w:rPr>
          <w:rFonts w:eastAsia="Calibri"/>
          <w:bCs/>
          <w:color w:val="000000"/>
        </w:rPr>
        <w:t xml:space="preserve"> Ośrodka Badań Studiów i Legislacji Krajowej Rady Radców Prawnych wskazano, że przedstawiony do analizy projekt ustawy o zmianie ustawy o zastawie rejestrowym i rejestrze zastawów – oraz ustawy Prawo o ruchu drogowym (UD13) nie budzi poważniejszych zastrzeżeń i jako taki może być procedowany dalej. Jest on zgodny z obowiązującymi przepisami. Sama idea wprowadzenia przedstawionej regulacji niewątpliwie wpłynie pozytywnie na funkcjonowanie rejestru zastawów, a ponadto przyczyni się do sprawności i efektywności postępowania.</w:t>
      </w:r>
    </w:p>
    <w:p w14:paraId="50751F4A" w14:textId="02FA96A4" w:rsidR="003F1DA2" w:rsidRPr="00BB322B" w:rsidRDefault="003F1DA2" w:rsidP="000F7F75">
      <w:pPr>
        <w:spacing w:line="240" w:lineRule="auto"/>
        <w:jc w:val="both"/>
        <w:rPr>
          <w:rFonts w:eastAsia="Calibri"/>
          <w:bCs/>
          <w:color w:val="000000"/>
        </w:rPr>
      </w:pPr>
    </w:p>
    <w:p w14:paraId="44647C9D" w14:textId="77777777" w:rsidR="003F1DA2" w:rsidRPr="00BB322B" w:rsidRDefault="003F1DA2" w:rsidP="000F7F75">
      <w:pPr>
        <w:spacing w:line="240" w:lineRule="auto"/>
        <w:jc w:val="both"/>
        <w:rPr>
          <w:rFonts w:eastAsia="Calibri"/>
          <w:bCs/>
          <w:color w:val="000000"/>
        </w:rPr>
      </w:pPr>
    </w:p>
    <w:p w14:paraId="6885210B" w14:textId="77777777" w:rsidR="000B398F" w:rsidRPr="00BB322B" w:rsidRDefault="000B398F" w:rsidP="000F7F75">
      <w:pPr>
        <w:spacing w:line="240" w:lineRule="auto"/>
        <w:jc w:val="both"/>
        <w:rPr>
          <w:bCs/>
        </w:rPr>
      </w:pPr>
    </w:p>
    <w:sectPr w:rsidR="000B398F" w:rsidRPr="00BB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D2A89" w14:textId="77777777" w:rsidR="00FE2756" w:rsidRDefault="00FE2756" w:rsidP="00163BA7">
      <w:pPr>
        <w:spacing w:after="0" w:line="240" w:lineRule="auto"/>
      </w:pPr>
      <w:r>
        <w:separator/>
      </w:r>
    </w:p>
  </w:endnote>
  <w:endnote w:type="continuationSeparator" w:id="0">
    <w:p w14:paraId="01661C9E" w14:textId="77777777" w:rsidR="00FE2756" w:rsidRDefault="00FE2756" w:rsidP="0016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505AB" w14:textId="77777777" w:rsidR="00FE2756" w:rsidRDefault="00FE2756" w:rsidP="00163BA7">
      <w:pPr>
        <w:spacing w:after="0" w:line="240" w:lineRule="auto"/>
      </w:pPr>
      <w:r>
        <w:separator/>
      </w:r>
    </w:p>
  </w:footnote>
  <w:footnote w:type="continuationSeparator" w:id="0">
    <w:p w14:paraId="2DA9A1A7" w14:textId="77777777" w:rsidR="00FE2756" w:rsidRDefault="00FE2756" w:rsidP="00163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55EE9"/>
    <w:multiLevelType w:val="hybridMultilevel"/>
    <w:tmpl w:val="D8F0FC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104A5"/>
    <w:multiLevelType w:val="hybridMultilevel"/>
    <w:tmpl w:val="C1E0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071645">
    <w:abstractNumId w:val="1"/>
  </w:num>
  <w:num w:numId="2" w16cid:durableId="1246963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44C"/>
    <w:rsid w:val="00061D6E"/>
    <w:rsid w:val="000B398F"/>
    <w:rsid w:val="000D73C9"/>
    <w:rsid w:val="000F7F75"/>
    <w:rsid w:val="00120514"/>
    <w:rsid w:val="00134A87"/>
    <w:rsid w:val="00163BA7"/>
    <w:rsid w:val="00172DF9"/>
    <w:rsid w:val="001C7AF7"/>
    <w:rsid w:val="00272C54"/>
    <w:rsid w:val="002A07E9"/>
    <w:rsid w:val="002B3EBF"/>
    <w:rsid w:val="002D7501"/>
    <w:rsid w:val="002F24AD"/>
    <w:rsid w:val="003026B0"/>
    <w:rsid w:val="003103F2"/>
    <w:rsid w:val="00353992"/>
    <w:rsid w:val="003A6C1D"/>
    <w:rsid w:val="003C456D"/>
    <w:rsid w:val="003C48AC"/>
    <w:rsid w:val="003E5A3D"/>
    <w:rsid w:val="003F1DA2"/>
    <w:rsid w:val="00427966"/>
    <w:rsid w:val="00434791"/>
    <w:rsid w:val="00481A0C"/>
    <w:rsid w:val="00532327"/>
    <w:rsid w:val="00563789"/>
    <w:rsid w:val="005E1FD6"/>
    <w:rsid w:val="006029B3"/>
    <w:rsid w:val="00612BC5"/>
    <w:rsid w:val="0063175E"/>
    <w:rsid w:val="00636BBE"/>
    <w:rsid w:val="006E544C"/>
    <w:rsid w:val="00742928"/>
    <w:rsid w:val="00744A38"/>
    <w:rsid w:val="00745F67"/>
    <w:rsid w:val="0077285F"/>
    <w:rsid w:val="00774B32"/>
    <w:rsid w:val="00777C37"/>
    <w:rsid w:val="007D02A5"/>
    <w:rsid w:val="007D054D"/>
    <w:rsid w:val="007E268A"/>
    <w:rsid w:val="008072D6"/>
    <w:rsid w:val="00820F91"/>
    <w:rsid w:val="00837C58"/>
    <w:rsid w:val="00856C59"/>
    <w:rsid w:val="008C5028"/>
    <w:rsid w:val="00911A1C"/>
    <w:rsid w:val="00926425"/>
    <w:rsid w:val="009413AC"/>
    <w:rsid w:val="009579DF"/>
    <w:rsid w:val="009B0FE2"/>
    <w:rsid w:val="009B7DF1"/>
    <w:rsid w:val="009F67E6"/>
    <w:rsid w:val="00A223C4"/>
    <w:rsid w:val="00A6551C"/>
    <w:rsid w:val="00AD00F4"/>
    <w:rsid w:val="00B27272"/>
    <w:rsid w:val="00B35C85"/>
    <w:rsid w:val="00B451F0"/>
    <w:rsid w:val="00BB322B"/>
    <w:rsid w:val="00BB6FFA"/>
    <w:rsid w:val="00BD7C6F"/>
    <w:rsid w:val="00BE03D7"/>
    <w:rsid w:val="00C0783A"/>
    <w:rsid w:val="00C1354C"/>
    <w:rsid w:val="00C85830"/>
    <w:rsid w:val="00D24EB6"/>
    <w:rsid w:val="00D7033D"/>
    <w:rsid w:val="00E30143"/>
    <w:rsid w:val="00E34C2F"/>
    <w:rsid w:val="00E37021"/>
    <w:rsid w:val="00E557CF"/>
    <w:rsid w:val="00E60780"/>
    <w:rsid w:val="00ED6D83"/>
    <w:rsid w:val="00EE6306"/>
    <w:rsid w:val="00F15FA0"/>
    <w:rsid w:val="00FD1D8E"/>
    <w:rsid w:val="00FD21C7"/>
    <w:rsid w:val="00FE2756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2FFB6"/>
  <w15:chartTrackingRefBased/>
  <w15:docId w15:val="{BD8E1188-AF29-4447-BAFF-4EB5AB43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44C"/>
    <w:pPr>
      <w:spacing w:after="200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544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544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544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44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44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44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544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544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544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54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5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54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54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54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54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54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54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54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54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E5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544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E54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544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E54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54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E54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54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54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544C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3BA7"/>
    <w:pPr>
      <w:spacing w:after="0" w:line="240" w:lineRule="auto"/>
      <w:ind w:firstLine="709"/>
      <w:jc w:val="both"/>
    </w:pPr>
    <w:rPr>
      <w:rFonts w:ascii="Open Sans Light" w:hAnsi="Open Sans Light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3BA7"/>
    <w:rPr>
      <w:rFonts w:ascii="Open Sans Light" w:eastAsia="Times New Roman" w:hAnsi="Open Sans Light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BA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9B7DF1"/>
  </w:style>
  <w:style w:type="character" w:styleId="Hipercze">
    <w:name w:val="Hyperlink"/>
    <w:basedOn w:val="Domylnaczcionkaakapitu"/>
    <w:uiPriority w:val="99"/>
    <w:unhideWhenUsed/>
    <w:rsid w:val="009B7D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D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87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34800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0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843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2646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0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6</Pages>
  <Words>2397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Ciećwierz Beata  (DPCiG)</dc:creator>
  <cp:keywords/>
  <dc:description/>
  <cp:lastModifiedBy>Ciećwierz Beata  (DPCiG)</cp:lastModifiedBy>
  <cp:revision>42</cp:revision>
  <dcterms:created xsi:type="dcterms:W3CDTF">2024-12-10T13:00:00Z</dcterms:created>
  <dcterms:modified xsi:type="dcterms:W3CDTF">2024-12-27T11:06:00Z</dcterms:modified>
</cp:coreProperties>
</file>